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E4" w:rsidRDefault="00C835E4" w:rsidP="00623CAC">
      <w:pPr>
        <w:pStyle w:val="1"/>
        <w:spacing w:line="240" w:lineRule="auto"/>
        <w:rPr>
          <w:bCs/>
          <w:spacing w:val="0"/>
          <w:sz w:val="28"/>
          <w:szCs w:val="28"/>
        </w:rPr>
      </w:pPr>
      <w:r>
        <w:object w:dxaOrig="769" w:dyaOrig="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15pt" o:ole="">
            <v:imagedata r:id="rId7" o:title=""/>
          </v:shape>
          <o:OLEObject Type="Embed" ProgID="Visio.Drawing.11" ShapeID="_x0000_i1025" DrawAspect="Content" ObjectID="_1506425911" r:id="rId8"/>
        </w:object>
      </w:r>
    </w:p>
    <w:p w:rsidR="00C835E4" w:rsidRDefault="00C835E4" w:rsidP="00DB5AD5">
      <w:pPr>
        <w:pStyle w:val="1"/>
        <w:spacing w:line="240" w:lineRule="auto"/>
        <w:rPr>
          <w:bCs/>
          <w:spacing w:val="0"/>
          <w:sz w:val="28"/>
          <w:szCs w:val="28"/>
        </w:rPr>
      </w:pPr>
    </w:p>
    <w:p w:rsidR="00C835E4" w:rsidRDefault="00C835E4" w:rsidP="00DB5AD5">
      <w:pPr>
        <w:pStyle w:val="1"/>
        <w:spacing w:line="240" w:lineRule="auto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КОНТРОЛЬНО-СЧЕТНАЯ  ПАЛАТА</w:t>
      </w:r>
    </w:p>
    <w:p w:rsidR="00C835E4" w:rsidRDefault="00C835E4" w:rsidP="00DB5AD5">
      <w:pPr>
        <w:pStyle w:val="9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ГОРОДА  БЕЛОГОРСКА</w:t>
      </w:r>
    </w:p>
    <w:p w:rsidR="00C835E4" w:rsidRDefault="00633575" w:rsidP="00DB5AD5">
      <w:pPr>
        <w:pStyle w:val="2"/>
        <w:jc w:val="left"/>
        <w:rPr>
          <w:i/>
          <w:iCs/>
          <w:smallCaps/>
          <w:spacing w:val="40"/>
          <w:sz w:val="28"/>
          <w:szCs w:val="28"/>
        </w:rPr>
      </w:pPr>
      <w:r w:rsidRPr="00633575">
        <w:rPr>
          <w:noProof/>
        </w:rPr>
        <w:pict>
          <v:line id="_x0000_s1026" style="position:absolute;z-index:251658240" from="1.35pt,12.45pt" to="487.35pt,12.45pt" o:allowincell="f" strokeweight="1.5pt"/>
        </w:pict>
      </w:r>
    </w:p>
    <w:p w:rsidR="00C835E4" w:rsidRDefault="00C835E4" w:rsidP="00DB5AD5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76850, г"/>
        </w:smartTagPr>
        <w:r>
          <w:rPr>
            <w:b/>
            <w:sz w:val="28"/>
            <w:szCs w:val="28"/>
          </w:rPr>
          <w:t>676850, г</w:t>
        </w:r>
      </w:smartTag>
      <w:r>
        <w:rPr>
          <w:b/>
          <w:sz w:val="28"/>
          <w:szCs w:val="28"/>
        </w:rPr>
        <w:t xml:space="preserve">. Белогорск, ул. </w:t>
      </w:r>
      <w:proofErr w:type="gramStart"/>
      <w:r>
        <w:rPr>
          <w:b/>
          <w:sz w:val="28"/>
          <w:szCs w:val="28"/>
        </w:rPr>
        <w:t>Партизанская</w:t>
      </w:r>
      <w:proofErr w:type="gramEnd"/>
      <w:r>
        <w:rPr>
          <w:b/>
          <w:sz w:val="28"/>
          <w:szCs w:val="28"/>
        </w:rPr>
        <w:t xml:space="preserve">, 26 </w:t>
      </w:r>
    </w:p>
    <w:p w:rsidR="00C835E4" w:rsidRDefault="00633575" w:rsidP="00063D86">
      <w:pPr>
        <w:tabs>
          <w:tab w:val="left" w:pos="142"/>
          <w:tab w:val="left" w:pos="284"/>
        </w:tabs>
        <w:jc w:val="both"/>
        <w:rPr>
          <w:b/>
        </w:rPr>
      </w:pPr>
      <w:r w:rsidRPr="00633575">
        <w:rPr>
          <w:noProof/>
        </w:rPr>
        <w:pict>
          <v:line id="_x0000_s1027" style="position:absolute;left:0;text-align:left;z-index:251659264" from="1.35pt,6.4pt" to="487.35pt,6.4pt" strokeweight="1.5pt"/>
        </w:pict>
      </w:r>
    </w:p>
    <w:p w:rsidR="00C835E4" w:rsidRPr="009B04F4" w:rsidRDefault="00C835E4" w:rsidP="00DB5AD5">
      <w:pPr>
        <w:tabs>
          <w:tab w:val="left" w:pos="0"/>
        </w:tabs>
        <w:jc w:val="center"/>
        <w:rPr>
          <w:b/>
          <w:sz w:val="26"/>
          <w:szCs w:val="26"/>
        </w:rPr>
      </w:pPr>
      <w:r w:rsidRPr="009B04F4">
        <w:rPr>
          <w:b/>
          <w:sz w:val="26"/>
          <w:szCs w:val="26"/>
        </w:rPr>
        <w:t>ЗАКЛЮЧЕНИЕ</w:t>
      </w:r>
    </w:p>
    <w:p w:rsidR="00C835E4" w:rsidRPr="009B04F4" w:rsidRDefault="00C835E4" w:rsidP="00DB5AD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835E4" w:rsidRDefault="00C835E4" w:rsidP="00902C00">
      <w:pPr>
        <w:pStyle w:val="a3"/>
        <w:ind w:right="30" w:hanging="720"/>
        <w:jc w:val="center"/>
        <w:rPr>
          <w:b/>
          <w:sz w:val="26"/>
          <w:szCs w:val="26"/>
        </w:rPr>
      </w:pPr>
      <w:r w:rsidRPr="009B04F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отчет об исполнении бюджета муниципального образования город Белогорск</w:t>
      </w:r>
    </w:p>
    <w:p w:rsidR="00C835E4" w:rsidRPr="009B04F4" w:rsidRDefault="00C835E4" w:rsidP="00902C00">
      <w:pPr>
        <w:pStyle w:val="a3"/>
        <w:ind w:right="3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9 месяцев  2012 года</w:t>
      </w:r>
    </w:p>
    <w:p w:rsidR="00C835E4" w:rsidRPr="009B04F4" w:rsidRDefault="00C835E4" w:rsidP="00902C00">
      <w:pPr>
        <w:tabs>
          <w:tab w:val="left" w:pos="0"/>
        </w:tabs>
        <w:ind w:right="30"/>
        <w:jc w:val="center"/>
        <w:rPr>
          <w:sz w:val="26"/>
          <w:szCs w:val="26"/>
        </w:rPr>
      </w:pPr>
    </w:p>
    <w:p w:rsidR="00C835E4" w:rsidRPr="009B04F4" w:rsidRDefault="00C835E4" w:rsidP="00902C00">
      <w:pPr>
        <w:ind w:right="30"/>
        <w:rPr>
          <w:sz w:val="26"/>
          <w:szCs w:val="26"/>
        </w:rPr>
      </w:pPr>
      <w:r>
        <w:rPr>
          <w:sz w:val="26"/>
          <w:szCs w:val="26"/>
        </w:rPr>
        <w:t>09</w:t>
      </w:r>
      <w:r w:rsidRPr="009B04F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B04F4">
        <w:rPr>
          <w:sz w:val="26"/>
          <w:szCs w:val="26"/>
        </w:rPr>
        <w:t>.</w:t>
      </w:r>
      <w:r w:rsidRPr="001D0F78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1D0F78">
        <w:rPr>
          <w:sz w:val="26"/>
          <w:szCs w:val="26"/>
        </w:rPr>
        <w:t xml:space="preserve">                                                                                                                            № </w:t>
      </w:r>
      <w:r>
        <w:rPr>
          <w:sz w:val="26"/>
          <w:szCs w:val="26"/>
        </w:rPr>
        <w:t>57</w:t>
      </w:r>
    </w:p>
    <w:p w:rsidR="00C835E4" w:rsidRPr="009B04F4" w:rsidRDefault="00C835E4" w:rsidP="00902C00">
      <w:pPr>
        <w:ind w:right="30"/>
        <w:jc w:val="center"/>
        <w:rPr>
          <w:b/>
          <w:sz w:val="26"/>
          <w:szCs w:val="26"/>
        </w:rPr>
      </w:pPr>
      <w:r w:rsidRPr="009B04F4">
        <w:rPr>
          <w:b/>
          <w:sz w:val="26"/>
          <w:szCs w:val="26"/>
        </w:rPr>
        <w:t xml:space="preserve"> </w:t>
      </w:r>
    </w:p>
    <w:p w:rsidR="00C835E4" w:rsidRPr="008209A2" w:rsidRDefault="00C835E4" w:rsidP="00902C00">
      <w:pPr>
        <w:tabs>
          <w:tab w:val="left" w:pos="0"/>
          <w:tab w:val="left" w:pos="399"/>
        </w:tabs>
        <w:ind w:right="30" w:firstLine="741"/>
        <w:jc w:val="both"/>
        <w:rPr>
          <w:b/>
          <w:i/>
          <w:sz w:val="26"/>
          <w:szCs w:val="26"/>
        </w:rPr>
      </w:pPr>
      <w:r w:rsidRPr="008209A2">
        <w:rPr>
          <w:b/>
          <w:i/>
          <w:sz w:val="26"/>
          <w:szCs w:val="26"/>
        </w:rPr>
        <w:t>1. Оценка представленного отчета об исполнении бюджета город Белогорск за 9 месяцев 2012 года  по содержанию, полноте и соответствию требованиям норм</w:t>
      </w:r>
      <w:r w:rsidRPr="008209A2">
        <w:rPr>
          <w:b/>
          <w:i/>
          <w:sz w:val="26"/>
          <w:szCs w:val="26"/>
        </w:rPr>
        <w:t>а</w:t>
      </w:r>
      <w:r w:rsidRPr="008209A2">
        <w:rPr>
          <w:b/>
          <w:i/>
          <w:sz w:val="26"/>
          <w:szCs w:val="26"/>
        </w:rPr>
        <w:t>тивн</w:t>
      </w:r>
      <w:proofErr w:type="gramStart"/>
      <w:r w:rsidRPr="008209A2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-</w:t>
      </w:r>
      <w:proofErr w:type="gramEnd"/>
      <w:r w:rsidRPr="008209A2">
        <w:rPr>
          <w:b/>
          <w:i/>
          <w:sz w:val="26"/>
          <w:szCs w:val="26"/>
        </w:rPr>
        <w:t xml:space="preserve"> правовых актов</w:t>
      </w:r>
    </w:p>
    <w:p w:rsidR="00C835E4" w:rsidRPr="009B04F4" w:rsidRDefault="00C835E4" w:rsidP="00902C00">
      <w:pPr>
        <w:tabs>
          <w:tab w:val="left" w:pos="0"/>
          <w:tab w:val="left" w:pos="399"/>
        </w:tabs>
        <w:ind w:right="30" w:firstLine="741"/>
        <w:jc w:val="both"/>
        <w:rPr>
          <w:b/>
          <w:sz w:val="26"/>
          <w:szCs w:val="26"/>
        </w:rPr>
      </w:pPr>
    </w:p>
    <w:p w:rsidR="00C835E4" w:rsidRPr="001A44BA" w:rsidRDefault="00C835E4" w:rsidP="00902C00">
      <w:pPr>
        <w:tabs>
          <w:tab w:val="left" w:pos="0"/>
        </w:tabs>
        <w:ind w:right="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A44BA">
        <w:rPr>
          <w:color w:val="000000"/>
          <w:sz w:val="26"/>
          <w:szCs w:val="26"/>
        </w:rPr>
        <w:t xml:space="preserve">Отчет об исполнении </w:t>
      </w:r>
      <w:r w:rsidRPr="001A44BA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муниципального образования </w:t>
      </w:r>
      <w:r w:rsidRPr="001A44BA">
        <w:rPr>
          <w:sz w:val="26"/>
          <w:szCs w:val="26"/>
        </w:rPr>
        <w:t xml:space="preserve">город Белогорск за </w:t>
      </w:r>
      <w:r>
        <w:rPr>
          <w:sz w:val="26"/>
          <w:szCs w:val="26"/>
        </w:rPr>
        <w:t>9 месяцев</w:t>
      </w:r>
      <w:r w:rsidRPr="001A44BA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1A44BA">
        <w:rPr>
          <w:sz w:val="26"/>
          <w:szCs w:val="26"/>
        </w:rPr>
        <w:t xml:space="preserve"> года</w:t>
      </w:r>
      <w:r w:rsidRPr="001A44BA">
        <w:rPr>
          <w:color w:val="000000"/>
          <w:sz w:val="26"/>
          <w:szCs w:val="26"/>
        </w:rPr>
        <w:t xml:space="preserve"> представлен в форме Постановления главы муниципального образов</w:t>
      </w:r>
      <w:r w:rsidRPr="001A44BA">
        <w:rPr>
          <w:color w:val="000000"/>
          <w:sz w:val="26"/>
          <w:szCs w:val="26"/>
        </w:rPr>
        <w:t>а</w:t>
      </w:r>
      <w:r w:rsidRPr="001A44BA">
        <w:rPr>
          <w:color w:val="000000"/>
          <w:sz w:val="26"/>
          <w:szCs w:val="26"/>
        </w:rPr>
        <w:t xml:space="preserve">ния  от </w:t>
      </w:r>
      <w:r>
        <w:rPr>
          <w:color w:val="000000"/>
          <w:sz w:val="26"/>
          <w:szCs w:val="26"/>
        </w:rPr>
        <w:t>30.10</w:t>
      </w:r>
      <w:r w:rsidRPr="001A44BA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2</w:t>
      </w:r>
      <w:r w:rsidRPr="001A44B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1810</w:t>
      </w:r>
      <w:r w:rsidRPr="001A44BA">
        <w:rPr>
          <w:color w:val="000000"/>
          <w:sz w:val="26"/>
          <w:szCs w:val="26"/>
        </w:rPr>
        <w:t xml:space="preserve"> « Об утверждении  отчета об исполнении </w:t>
      </w:r>
      <w:r w:rsidRPr="001A44BA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</w:t>
      </w:r>
      <w:r w:rsidRPr="001A44BA">
        <w:rPr>
          <w:sz w:val="26"/>
          <w:szCs w:val="26"/>
        </w:rPr>
        <w:t xml:space="preserve">город Белогорск за </w:t>
      </w:r>
      <w:r>
        <w:rPr>
          <w:sz w:val="26"/>
          <w:szCs w:val="26"/>
        </w:rPr>
        <w:t>9 месяцев</w:t>
      </w:r>
      <w:r w:rsidRPr="001A44BA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1A44BA">
        <w:rPr>
          <w:sz w:val="26"/>
          <w:szCs w:val="26"/>
        </w:rPr>
        <w:t xml:space="preserve"> года», что </w:t>
      </w:r>
      <w:r>
        <w:rPr>
          <w:sz w:val="26"/>
          <w:szCs w:val="26"/>
        </w:rPr>
        <w:t>соответствует</w:t>
      </w:r>
      <w:r w:rsidRPr="001A44BA">
        <w:rPr>
          <w:sz w:val="26"/>
          <w:szCs w:val="26"/>
        </w:rPr>
        <w:t xml:space="preserve"> п. 5 ст. 264.2 Бюджетного кодекса Российской Федерации. </w:t>
      </w:r>
    </w:p>
    <w:p w:rsidR="00C835E4" w:rsidRPr="009B04F4" w:rsidRDefault="00C835E4" w:rsidP="00902C00">
      <w:pPr>
        <w:autoSpaceDE w:val="0"/>
        <w:autoSpaceDN w:val="0"/>
        <w:adjustRightInd w:val="0"/>
        <w:ind w:right="30" w:firstLine="708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форме Приложений к Постановлению </w:t>
      </w:r>
      <w:r w:rsidRPr="009B04F4">
        <w:rPr>
          <w:color w:val="000000"/>
          <w:sz w:val="26"/>
          <w:szCs w:val="26"/>
        </w:rPr>
        <w:t xml:space="preserve"> </w:t>
      </w:r>
      <w:proofErr w:type="gramStart"/>
      <w:r w:rsidRPr="009B04F4">
        <w:rPr>
          <w:color w:val="000000"/>
          <w:sz w:val="26"/>
          <w:szCs w:val="26"/>
        </w:rPr>
        <w:t>пред</w:t>
      </w:r>
      <w:r>
        <w:rPr>
          <w:color w:val="000000"/>
          <w:sz w:val="26"/>
          <w:szCs w:val="26"/>
        </w:rPr>
        <w:t>о</w:t>
      </w:r>
      <w:r w:rsidRPr="009B04F4">
        <w:rPr>
          <w:color w:val="000000"/>
          <w:sz w:val="26"/>
          <w:szCs w:val="26"/>
        </w:rPr>
        <w:t>ставлены</w:t>
      </w:r>
      <w:proofErr w:type="gramEnd"/>
      <w:r w:rsidRPr="009B04F4">
        <w:rPr>
          <w:color w:val="000000"/>
          <w:sz w:val="26"/>
          <w:szCs w:val="26"/>
        </w:rPr>
        <w:t>:</w:t>
      </w:r>
    </w:p>
    <w:p w:rsidR="00C835E4" w:rsidRDefault="00C835E4" w:rsidP="00902C00">
      <w:pPr>
        <w:numPr>
          <w:ilvl w:val="0"/>
          <w:numId w:val="4"/>
        </w:numPr>
        <w:tabs>
          <w:tab w:val="left" w:pos="720"/>
          <w:tab w:val="left" w:pos="5670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>Отчет об и</w:t>
      </w:r>
      <w:r w:rsidRPr="009B04F4">
        <w:rPr>
          <w:sz w:val="26"/>
          <w:szCs w:val="26"/>
        </w:rPr>
        <w:t>сполнени</w:t>
      </w:r>
      <w:r>
        <w:rPr>
          <w:sz w:val="26"/>
          <w:szCs w:val="26"/>
        </w:rPr>
        <w:t>и</w:t>
      </w:r>
      <w:r w:rsidRPr="009B04F4">
        <w:rPr>
          <w:sz w:val="26"/>
          <w:szCs w:val="26"/>
        </w:rPr>
        <w:t xml:space="preserve"> доходов местного бюджета за </w:t>
      </w:r>
      <w:r>
        <w:rPr>
          <w:sz w:val="26"/>
          <w:szCs w:val="26"/>
        </w:rPr>
        <w:t>9 месяцев</w:t>
      </w:r>
      <w:r w:rsidRPr="001A44BA">
        <w:rPr>
          <w:sz w:val="26"/>
          <w:szCs w:val="26"/>
        </w:rPr>
        <w:t xml:space="preserve"> </w:t>
      </w:r>
      <w:r>
        <w:rPr>
          <w:sz w:val="26"/>
          <w:szCs w:val="26"/>
        </w:rPr>
        <w:t>2012 года;</w:t>
      </w:r>
    </w:p>
    <w:p w:rsidR="00C835E4" w:rsidRPr="009B04F4" w:rsidRDefault="00C835E4" w:rsidP="00902C00">
      <w:pPr>
        <w:numPr>
          <w:ilvl w:val="0"/>
          <w:numId w:val="4"/>
        </w:numPr>
        <w:tabs>
          <w:tab w:val="left" w:pos="720"/>
          <w:tab w:val="left" w:pos="5670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</w:t>
      </w:r>
      <w:r w:rsidRPr="009B04F4">
        <w:rPr>
          <w:sz w:val="26"/>
          <w:szCs w:val="26"/>
        </w:rPr>
        <w:t xml:space="preserve"> расходов местного бюджета по разделам, подразделам функциональной классификации расходов </w:t>
      </w:r>
      <w:r>
        <w:rPr>
          <w:sz w:val="26"/>
          <w:szCs w:val="26"/>
        </w:rPr>
        <w:t xml:space="preserve">бюджетов РФ </w:t>
      </w:r>
      <w:r w:rsidRPr="009B04F4">
        <w:rPr>
          <w:sz w:val="26"/>
          <w:szCs w:val="26"/>
        </w:rPr>
        <w:t xml:space="preserve">за </w:t>
      </w:r>
      <w:r>
        <w:rPr>
          <w:sz w:val="26"/>
          <w:szCs w:val="26"/>
        </w:rPr>
        <w:t>9 месяцев</w:t>
      </w:r>
      <w:r w:rsidRPr="001A44BA">
        <w:rPr>
          <w:sz w:val="26"/>
          <w:szCs w:val="26"/>
        </w:rPr>
        <w:t xml:space="preserve"> </w:t>
      </w:r>
      <w:r>
        <w:rPr>
          <w:sz w:val="26"/>
          <w:szCs w:val="26"/>
        </w:rPr>
        <w:t>2012 года;</w:t>
      </w:r>
    </w:p>
    <w:p w:rsidR="00C835E4" w:rsidRPr="009B04F4" w:rsidRDefault="00C835E4" w:rsidP="00902C00">
      <w:pPr>
        <w:numPr>
          <w:ilvl w:val="0"/>
          <w:numId w:val="4"/>
        </w:numPr>
        <w:tabs>
          <w:tab w:val="left" w:pos="720"/>
          <w:tab w:val="left" w:pos="5670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>Отчет об и</w:t>
      </w:r>
      <w:r w:rsidRPr="009B04F4">
        <w:rPr>
          <w:sz w:val="26"/>
          <w:szCs w:val="26"/>
        </w:rPr>
        <w:t>сполнени</w:t>
      </w:r>
      <w:r>
        <w:rPr>
          <w:sz w:val="26"/>
          <w:szCs w:val="26"/>
        </w:rPr>
        <w:t>и</w:t>
      </w:r>
      <w:r w:rsidRPr="009B04F4">
        <w:rPr>
          <w:sz w:val="26"/>
          <w:szCs w:val="26"/>
        </w:rPr>
        <w:t xml:space="preserve"> источников </w:t>
      </w:r>
      <w:r>
        <w:rPr>
          <w:sz w:val="26"/>
          <w:szCs w:val="26"/>
        </w:rPr>
        <w:t xml:space="preserve">внутреннего </w:t>
      </w:r>
      <w:r w:rsidRPr="009B04F4">
        <w:rPr>
          <w:sz w:val="26"/>
          <w:szCs w:val="26"/>
        </w:rPr>
        <w:t xml:space="preserve">финансирования дефицита местного бюджета за </w:t>
      </w:r>
      <w:r>
        <w:rPr>
          <w:sz w:val="26"/>
          <w:szCs w:val="26"/>
        </w:rPr>
        <w:t>9 месяцев</w:t>
      </w:r>
      <w:r w:rsidRPr="001A44BA">
        <w:rPr>
          <w:sz w:val="26"/>
          <w:szCs w:val="26"/>
        </w:rPr>
        <w:t xml:space="preserve"> </w:t>
      </w:r>
      <w:r>
        <w:rPr>
          <w:sz w:val="26"/>
          <w:szCs w:val="26"/>
        </w:rPr>
        <w:t>2012 года;</w:t>
      </w:r>
    </w:p>
    <w:p w:rsidR="00C835E4" w:rsidRPr="009B04F4" w:rsidRDefault="00C835E4" w:rsidP="00902C00">
      <w:pPr>
        <w:numPr>
          <w:ilvl w:val="0"/>
          <w:numId w:val="4"/>
        </w:numPr>
        <w:tabs>
          <w:tab w:val="left" w:pos="720"/>
          <w:tab w:val="left" w:pos="5670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>Отчет об и</w:t>
      </w:r>
      <w:r w:rsidRPr="009B04F4">
        <w:rPr>
          <w:sz w:val="26"/>
          <w:szCs w:val="26"/>
        </w:rPr>
        <w:t>сполнени</w:t>
      </w:r>
      <w:r>
        <w:rPr>
          <w:sz w:val="26"/>
          <w:szCs w:val="26"/>
        </w:rPr>
        <w:t>и</w:t>
      </w:r>
      <w:r w:rsidRPr="009B04F4">
        <w:rPr>
          <w:sz w:val="26"/>
          <w:szCs w:val="26"/>
        </w:rPr>
        <w:t xml:space="preserve"> по ведомственной </w:t>
      </w:r>
      <w:r>
        <w:rPr>
          <w:sz w:val="26"/>
          <w:szCs w:val="26"/>
        </w:rPr>
        <w:t xml:space="preserve">структуре  местного </w:t>
      </w:r>
      <w:r w:rsidRPr="009B04F4">
        <w:rPr>
          <w:sz w:val="26"/>
          <w:szCs w:val="26"/>
        </w:rPr>
        <w:t xml:space="preserve">бюджета  за </w:t>
      </w:r>
      <w:r>
        <w:rPr>
          <w:sz w:val="26"/>
          <w:szCs w:val="26"/>
        </w:rPr>
        <w:t>9 месяцев</w:t>
      </w:r>
      <w:r w:rsidRPr="001A44BA">
        <w:rPr>
          <w:sz w:val="26"/>
          <w:szCs w:val="26"/>
        </w:rPr>
        <w:t xml:space="preserve"> </w:t>
      </w:r>
      <w:r>
        <w:rPr>
          <w:sz w:val="26"/>
          <w:szCs w:val="26"/>
        </w:rPr>
        <w:t>2012 года;</w:t>
      </w:r>
    </w:p>
    <w:p w:rsidR="00C835E4" w:rsidRPr="009B04F4" w:rsidRDefault="00C835E4" w:rsidP="00902C00">
      <w:pPr>
        <w:numPr>
          <w:ilvl w:val="0"/>
          <w:numId w:val="4"/>
        </w:numPr>
        <w:tabs>
          <w:tab w:val="left" w:pos="720"/>
          <w:tab w:val="left" w:pos="5670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</w:t>
      </w:r>
      <w:r w:rsidRPr="009B04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долгосрочных </w:t>
      </w:r>
      <w:r w:rsidRPr="009B04F4">
        <w:rPr>
          <w:sz w:val="26"/>
          <w:szCs w:val="26"/>
        </w:rPr>
        <w:t>городских целевых программ</w:t>
      </w:r>
      <w:r>
        <w:rPr>
          <w:sz w:val="26"/>
          <w:szCs w:val="26"/>
        </w:rPr>
        <w:t>, предусмотре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к финансированию из местного бюджета </w:t>
      </w:r>
      <w:r w:rsidRPr="009B04F4">
        <w:rPr>
          <w:sz w:val="26"/>
          <w:szCs w:val="26"/>
        </w:rPr>
        <w:t xml:space="preserve">за </w:t>
      </w:r>
      <w:r>
        <w:rPr>
          <w:sz w:val="26"/>
          <w:szCs w:val="26"/>
        </w:rPr>
        <w:t>9 месяцев</w:t>
      </w:r>
      <w:r w:rsidRPr="001A44BA">
        <w:rPr>
          <w:sz w:val="26"/>
          <w:szCs w:val="26"/>
        </w:rPr>
        <w:t xml:space="preserve"> </w:t>
      </w:r>
      <w:r>
        <w:rPr>
          <w:sz w:val="26"/>
          <w:szCs w:val="26"/>
        </w:rPr>
        <w:t>2012 года.</w:t>
      </w:r>
    </w:p>
    <w:p w:rsidR="00C835E4" w:rsidRPr="009B04F4" w:rsidRDefault="00C835E4" w:rsidP="00902C00">
      <w:pPr>
        <w:autoSpaceDE w:val="0"/>
        <w:autoSpaceDN w:val="0"/>
        <w:adjustRightInd w:val="0"/>
        <w:ind w:right="30" w:firstLine="708"/>
        <w:jc w:val="both"/>
        <w:outlineLvl w:val="0"/>
        <w:rPr>
          <w:sz w:val="26"/>
          <w:szCs w:val="26"/>
        </w:rPr>
      </w:pPr>
    </w:p>
    <w:p w:rsidR="00C835E4" w:rsidRPr="008209A2" w:rsidRDefault="00C835E4" w:rsidP="00902C00">
      <w:pPr>
        <w:ind w:right="30" w:firstLine="741"/>
        <w:jc w:val="both"/>
        <w:rPr>
          <w:b/>
          <w:i/>
          <w:color w:val="000000"/>
          <w:sz w:val="26"/>
          <w:szCs w:val="26"/>
        </w:rPr>
      </w:pPr>
      <w:r w:rsidRPr="008209A2">
        <w:rPr>
          <w:b/>
          <w:i/>
          <w:color w:val="000000"/>
          <w:sz w:val="26"/>
          <w:szCs w:val="26"/>
        </w:rPr>
        <w:t xml:space="preserve">2. По результатам внешней проверки отчета об исполнении </w:t>
      </w:r>
      <w:r w:rsidRPr="008209A2">
        <w:rPr>
          <w:b/>
          <w:i/>
          <w:sz w:val="26"/>
          <w:szCs w:val="26"/>
        </w:rPr>
        <w:t>бюджета мун</w:t>
      </w:r>
      <w:r w:rsidRPr="008209A2">
        <w:rPr>
          <w:b/>
          <w:i/>
          <w:sz w:val="26"/>
          <w:szCs w:val="26"/>
        </w:rPr>
        <w:t>и</w:t>
      </w:r>
      <w:r w:rsidRPr="008209A2">
        <w:rPr>
          <w:b/>
          <w:i/>
          <w:sz w:val="26"/>
          <w:szCs w:val="26"/>
        </w:rPr>
        <w:t>ципального образования город Белогорск за 9 месяцев</w:t>
      </w:r>
      <w:r w:rsidRPr="008209A2">
        <w:rPr>
          <w:i/>
          <w:sz w:val="26"/>
          <w:szCs w:val="26"/>
        </w:rPr>
        <w:t xml:space="preserve"> </w:t>
      </w:r>
      <w:r w:rsidRPr="008209A2">
        <w:rPr>
          <w:b/>
          <w:i/>
          <w:sz w:val="26"/>
          <w:szCs w:val="26"/>
        </w:rPr>
        <w:t>2012 года</w:t>
      </w:r>
      <w:r w:rsidRPr="008209A2">
        <w:rPr>
          <w:b/>
          <w:i/>
          <w:color w:val="000000"/>
          <w:sz w:val="26"/>
          <w:szCs w:val="26"/>
        </w:rPr>
        <w:t xml:space="preserve">  Контрольно-счетная палата г. Белогорск отмечает:</w:t>
      </w:r>
    </w:p>
    <w:p w:rsidR="00C835E4" w:rsidRDefault="00C835E4" w:rsidP="00902C00">
      <w:pPr>
        <w:ind w:right="30"/>
        <w:jc w:val="both"/>
        <w:rPr>
          <w:b/>
          <w:color w:val="000000"/>
          <w:sz w:val="26"/>
          <w:szCs w:val="26"/>
        </w:rPr>
      </w:pPr>
    </w:p>
    <w:p w:rsidR="00C835E4" w:rsidRDefault="00C835E4" w:rsidP="00B94B63">
      <w:pPr>
        <w:pStyle w:val="ConsNormal"/>
        <w:numPr>
          <w:ilvl w:val="0"/>
          <w:numId w:val="8"/>
        </w:numPr>
        <w:tabs>
          <w:tab w:val="right" w:pos="0"/>
          <w:tab w:val="left" w:pos="399"/>
        </w:tabs>
        <w:ind w:left="0"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04F4">
        <w:rPr>
          <w:rFonts w:ascii="Times New Roman" w:hAnsi="Times New Roman" w:cs="Times New Roman"/>
          <w:sz w:val="26"/>
          <w:szCs w:val="26"/>
        </w:rPr>
        <w:t xml:space="preserve"> Бюджет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9B04F4">
        <w:rPr>
          <w:rFonts w:ascii="Times New Roman" w:hAnsi="Times New Roman" w:cs="Times New Roman"/>
          <w:sz w:val="26"/>
          <w:szCs w:val="26"/>
        </w:rPr>
        <w:t>город Белогорск за отчетный период  испо</w:t>
      </w:r>
      <w:r w:rsidRPr="009B04F4">
        <w:rPr>
          <w:rFonts w:ascii="Times New Roman" w:hAnsi="Times New Roman" w:cs="Times New Roman"/>
          <w:sz w:val="26"/>
          <w:szCs w:val="26"/>
        </w:rPr>
        <w:t>л</w:t>
      </w:r>
      <w:r w:rsidRPr="009B04F4">
        <w:rPr>
          <w:rFonts w:ascii="Times New Roman" w:hAnsi="Times New Roman" w:cs="Times New Roman"/>
          <w:sz w:val="26"/>
          <w:szCs w:val="26"/>
        </w:rPr>
        <w:t xml:space="preserve">нен </w:t>
      </w:r>
      <w:r w:rsidRPr="001F1970">
        <w:rPr>
          <w:rFonts w:ascii="Times New Roman" w:hAnsi="Times New Roman" w:cs="Times New Roman"/>
          <w:sz w:val="26"/>
          <w:szCs w:val="26"/>
        </w:rPr>
        <w:t>по доходам в сумме</w:t>
      </w:r>
      <w:r>
        <w:rPr>
          <w:rFonts w:ascii="Times New Roman" w:hAnsi="Times New Roman" w:cs="Times New Roman"/>
          <w:sz w:val="26"/>
          <w:szCs w:val="26"/>
        </w:rPr>
        <w:t xml:space="preserve"> 1018345,1</w:t>
      </w:r>
      <w:r w:rsidRPr="00C34A06">
        <w:rPr>
          <w:rFonts w:ascii="Times New Roman" w:hAnsi="Times New Roman" w:cs="Times New Roman"/>
          <w:sz w:val="26"/>
          <w:szCs w:val="26"/>
        </w:rPr>
        <w:t xml:space="preserve"> тыс. руб.,</w:t>
      </w:r>
      <w:r>
        <w:rPr>
          <w:rFonts w:ascii="Times New Roman" w:hAnsi="Times New Roman" w:cs="Times New Roman"/>
          <w:sz w:val="26"/>
          <w:szCs w:val="26"/>
        </w:rPr>
        <w:t xml:space="preserve"> или 69,6% от годовых плановых назначений.</w:t>
      </w:r>
    </w:p>
    <w:p w:rsidR="00C835E4" w:rsidRDefault="00C835E4" w:rsidP="00DB660D">
      <w:pPr>
        <w:pStyle w:val="ConsNormal"/>
        <w:tabs>
          <w:tab w:val="right" w:pos="0"/>
        </w:tabs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94B63">
        <w:rPr>
          <w:rFonts w:ascii="Times New Roman" w:hAnsi="Times New Roman" w:cs="Times New Roman"/>
          <w:color w:val="000000"/>
          <w:sz w:val="26"/>
          <w:szCs w:val="26"/>
        </w:rPr>
        <w:t>асход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ов произведено на сумму 1039166,4тыс. руб., или 65,5% от годовых плановых назначений.            </w:t>
      </w:r>
    </w:p>
    <w:p w:rsidR="00C835E4" w:rsidRDefault="00C835E4" w:rsidP="001948D3">
      <w:pPr>
        <w:numPr>
          <w:ilvl w:val="0"/>
          <w:numId w:val="8"/>
        </w:numPr>
        <w:tabs>
          <w:tab w:val="right" w:pos="0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9F3AD4">
        <w:rPr>
          <w:color w:val="000000"/>
          <w:sz w:val="26"/>
          <w:szCs w:val="26"/>
        </w:rPr>
        <w:t>В приложении №1 «</w:t>
      </w:r>
      <w:r w:rsidRPr="009F3AD4">
        <w:rPr>
          <w:sz w:val="26"/>
          <w:szCs w:val="26"/>
        </w:rPr>
        <w:t>Отчет об исполнении доходов местного бюджета за 9 мес</w:t>
      </w:r>
      <w:r w:rsidRPr="009F3AD4">
        <w:rPr>
          <w:sz w:val="26"/>
          <w:szCs w:val="26"/>
        </w:rPr>
        <w:t>я</w:t>
      </w:r>
      <w:r w:rsidRPr="009F3AD4">
        <w:rPr>
          <w:sz w:val="26"/>
          <w:szCs w:val="26"/>
        </w:rPr>
        <w:t>цев 2011 года»</w:t>
      </w:r>
      <w:r w:rsidRPr="009F3AD4">
        <w:rPr>
          <w:color w:val="000000"/>
          <w:sz w:val="26"/>
          <w:szCs w:val="26"/>
        </w:rPr>
        <w:t xml:space="preserve"> Постановления плановый объем доходов соответствует объему доходов, утвержденному Решением Белогорского городского Совета народных депутатов от 22 мая 2012 г. № 57/61 «О внесении изменений в решение городского Совета от 23.12.2011 года № 50/345 «О местном бюджете на 2012 год и плановый период 2013 и 2014 годов</w:t>
      </w:r>
      <w:proofErr w:type="gramEnd"/>
      <w:r w:rsidRPr="009F3AD4">
        <w:rPr>
          <w:color w:val="000000"/>
          <w:sz w:val="26"/>
          <w:szCs w:val="26"/>
        </w:rPr>
        <w:t>» (с уч</w:t>
      </w:r>
      <w:r w:rsidRPr="009F3AD4">
        <w:rPr>
          <w:color w:val="000000"/>
          <w:sz w:val="26"/>
          <w:szCs w:val="26"/>
        </w:rPr>
        <w:t>е</w:t>
      </w:r>
      <w:r w:rsidRPr="009F3AD4">
        <w:rPr>
          <w:color w:val="000000"/>
          <w:sz w:val="26"/>
          <w:szCs w:val="26"/>
        </w:rPr>
        <w:t>том внесенных изменений).</w:t>
      </w:r>
    </w:p>
    <w:p w:rsidR="00C835E4" w:rsidRDefault="00C835E4" w:rsidP="00983CE7">
      <w:pPr>
        <w:tabs>
          <w:tab w:val="right" w:pos="0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8209A2">
        <w:rPr>
          <w:b/>
          <w:color w:val="000000"/>
          <w:sz w:val="26"/>
          <w:szCs w:val="26"/>
        </w:rPr>
        <w:lastRenderedPageBreak/>
        <w:t>Контрольно-счетная палата отмечает низкий процент исполнения налоговых и неналоговых доходов.</w:t>
      </w:r>
      <w:r>
        <w:rPr>
          <w:color w:val="000000"/>
          <w:sz w:val="26"/>
          <w:szCs w:val="26"/>
        </w:rPr>
        <w:t xml:space="preserve"> </w:t>
      </w:r>
    </w:p>
    <w:p w:rsidR="00C835E4" w:rsidRPr="009F3AD4" w:rsidRDefault="00C835E4" w:rsidP="00983CE7">
      <w:pPr>
        <w:tabs>
          <w:tab w:val="right" w:pos="0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подготовке заключений на внесение изменений в доходную часть бюджета КСП неоднократно обращала внимание разработчика проекта на  возможность возникновения указанной ситуации.  </w:t>
      </w:r>
      <w:proofErr w:type="spellStart"/>
      <w:r>
        <w:rPr>
          <w:color w:val="000000"/>
          <w:sz w:val="26"/>
          <w:szCs w:val="26"/>
        </w:rPr>
        <w:t>Недополучение</w:t>
      </w:r>
      <w:proofErr w:type="spellEnd"/>
      <w:r>
        <w:rPr>
          <w:color w:val="000000"/>
          <w:sz w:val="26"/>
          <w:szCs w:val="26"/>
        </w:rPr>
        <w:t xml:space="preserve"> доходной базы повлечет неисполнение муницип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литетом принятых бюджетных обязательств, и, как следствие этого, прирост кредито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ской задолженности на конец отчетного года.</w:t>
      </w:r>
    </w:p>
    <w:p w:rsidR="00C835E4" w:rsidRPr="009F3AD4" w:rsidRDefault="00C835E4" w:rsidP="009F3AD4">
      <w:pPr>
        <w:numPr>
          <w:ilvl w:val="0"/>
          <w:numId w:val="8"/>
        </w:numPr>
        <w:tabs>
          <w:tab w:val="right" w:pos="0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9F3AD4">
        <w:rPr>
          <w:color w:val="000000"/>
          <w:sz w:val="26"/>
          <w:szCs w:val="26"/>
        </w:rPr>
        <w:t>В приложении № 2 «</w:t>
      </w:r>
      <w:r w:rsidRPr="009F3AD4">
        <w:rPr>
          <w:sz w:val="26"/>
          <w:szCs w:val="26"/>
        </w:rPr>
        <w:t>Отчет об исполнении  расходов местного бюджета по разд</w:t>
      </w:r>
      <w:r w:rsidRPr="009F3AD4">
        <w:rPr>
          <w:sz w:val="26"/>
          <w:szCs w:val="26"/>
        </w:rPr>
        <w:t>е</w:t>
      </w:r>
      <w:r w:rsidRPr="009F3AD4">
        <w:rPr>
          <w:sz w:val="26"/>
          <w:szCs w:val="26"/>
        </w:rPr>
        <w:t xml:space="preserve">лам, подразделам функциональной классификации расходов за 9 месяцев 2012 года» </w:t>
      </w:r>
      <w:r w:rsidRPr="009F3AD4">
        <w:rPr>
          <w:color w:val="000000"/>
          <w:sz w:val="26"/>
          <w:szCs w:val="26"/>
        </w:rPr>
        <w:t>пл</w:t>
      </w:r>
      <w:r w:rsidRPr="009F3AD4">
        <w:rPr>
          <w:color w:val="000000"/>
          <w:sz w:val="26"/>
          <w:szCs w:val="26"/>
        </w:rPr>
        <w:t>а</w:t>
      </w:r>
      <w:r w:rsidRPr="009F3AD4">
        <w:rPr>
          <w:color w:val="000000"/>
          <w:sz w:val="26"/>
          <w:szCs w:val="26"/>
        </w:rPr>
        <w:t>новый объем расходов соответствует объему плановых назначений, утвержденному Р</w:t>
      </w:r>
      <w:r w:rsidRPr="009F3AD4">
        <w:rPr>
          <w:color w:val="000000"/>
          <w:sz w:val="26"/>
          <w:szCs w:val="26"/>
        </w:rPr>
        <w:t>е</w:t>
      </w:r>
      <w:r w:rsidRPr="009F3AD4">
        <w:rPr>
          <w:color w:val="000000"/>
          <w:sz w:val="26"/>
          <w:szCs w:val="26"/>
        </w:rPr>
        <w:t>шением Белогорского городского Совета народных депутатов от 22 мая 2012 г. № 57/61  «О внесении изменений в решение городского Совета от 23.12.2011 года № 50/345 «О м</w:t>
      </w:r>
      <w:r w:rsidRPr="009F3AD4">
        <w:rPr>
          <w:color w:val="000000"/>
          <w:sz w:val="26"/>
          <w:szCs w:val="26"/>
        </w:rPr>
        <w:t>е</w:t>
      </w:r>
      <w:r w:rsidRPr="009F3AD4">
        <w:rPr>
          <w:color w:val="000000"/>
          <w:sz w:val="26"/>
          <w:szCs w:val="26"/>
        </w:rPr>
        <w:t>стном бюджете на 2012 год и</w:t>
      </w:r>
      <w:proofErr w:type="gramEnd"/>
      <w:r w:rsidRPr="009F3AD4">
        <w:rPr>
          <w:color w:val="000000"/>
          <w:sz w:val="26"/>
          <w:szCs w:val="26"/>
        </w:rPr>
        <w:t xml:space="preserve"> плановый период 2013 и 2014 годов» (с учетом внесенных изменений). </w:t>
      </w:r>
    </w:p>
    <w:p w:rsidR="00C835E4" w:rsidRDefault="00C835E4" w:rsidP="009F3AD4">
      <w:pPr>
        <w:tabs>
          <w:tab w:val="left" w:pos="284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B04F4">
        <w:rPr>
          <w:sz w:val="26"/>
          <w:szCs w:val="26"/>
        </w:rPr>
        <w:t>ри анализе исполнения расходов по разделам, подразделам, видам расходов фун</w:t>
      </w:r>
      <w:r w:rsidRPr="009B04F4">
        <w:rPr>
          <w:sz w:val="26"/>
          <w:szCs w:val="26"/>
        </w:rPr>
        <w:t>к</w:t>
      </w:r>
      <w:r w:rsidRPr="009B04F4">
        <w:rPr>
          <w:sz w:val="26"/>
          <w:szCs w:val="26"/>
        </w:rPr>
        <w:t xml:space="preserve">циональной классификации за </w:t>
      </w:r>
      <w:r>
        <w:rPr>
          <w:sz w:val="26"/>
          <w:szCs w:val="26"/>
        </w:rPr>
        <w:t>9 месяцев</w:t>
      </w:r>
      <w:r w:rsidRPr="001A44BA">
        <w:rPr>
          <w:sz w:val="26"/>
          <w:szCs w:val="26"/>
        </w:rPr>
        <w:t xml:space="preserve"> </w:t>
      </w:r>
      <w:r>
        <w:rPr>
          <w:sz w:val="26"/>
          <w:szCs w:val="26"/>
        </w:rPr>
        <w:t>2012 года</w:t>
      </w:r>
      <w:r w:rsidRPr="009B04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значительно </w:t>
      </w:r>
      <w:r w:rsidRPr="009B04F4">
        <w:rPr>
          <w:sz w:val="26"/>
          <w:szCs w:val="26"/>
        </w:rPr>
        <w:t xml:space="preserve">ниже общего сложилось исполнение по </w:t>
      </w:r>
      <w:r>
        <w:rPr>
          <w:sz w:val="26"/>
          <w:szCs w:val="26"/>
        </w:rPr>
        <w:t>разделам 1100 «Физическая культура и спорт» - 39,9%, 1200 «Средства массовой информации» - 45,6%.</w:t>
      </w:r>
    </w:p>
    <w:p w:rsidR="00C835E4" w:rsidRPr="00040ECC" w:rsidRDefault="00C835E4" w:rsidP="000F0657">
      <w:pPr>
        <w:numPr>
          <w:ilvl w:val="0"/>
          <w:numId w:val="8"/>
        </w:numPr>
        <w:tabs>
          <w:tab w:val="right" w:pos="0"/>
          <w:tab w:val="left" w:pos="567"/>
          <w:tab w:val="left" w:pos="709"/>
          <w:tab w:val="left" w:pos="993"/>
        </w:tabs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 w:rsidRPr="00444D23">
        <w:rPr>
          <w:color w:val="000000"/>
          <w:sz w:val="26"/>
          <w:szCs w:val="26"/>
        </w:rPr>
        <w:t>В приложении № 4 «</w:t>
      </w:r>
      <w:r w:rsidRPr="00444D23">
        <w:rPr>
          <w:sz w:val="26"/>
          <w:szCs w:val="26"/>
        </w:rPr>
        <w:t xml:space="preserve">Отчет об исполнении  расходов  по ведомственной структуре местного бюджета за 9 месяцев 2012 года» </w:t>
      </w:r>
      <w:r w:rsidRPr="00444D23">
        <w:rPr>
          <w:color w:val="000000"/>
          <w:sz w:val="26"/>
          <w:szCs w:val="26"/>
        </w:rPr>
        <w:t>плановый объем расходов не соответствует объему плановых назначений, утвержденному Решением Белогорского городского Совета народных депутатов от 22 мая 2012 г. № 57/61  «О внесении изменений в решение горо</w:t>
      </w:r>
      <w:r w:rsidRPr="00444D23">
        <w:rPr>
          <w:color w:val="000000"/>
          <w:sz w:val="26"/>
          <w:szCs w:val="26"/>
        </w:rPr>
        <w:t>д</w:t>
      </w:r>
      <w:r w:rsidRPr="00444D23">
        <w:rPr>
          <w:color w:val="000000"/>
          <w:sz w:val="26"/>
          <w:szCs w:val="26"/>
        </w:rPr>
        <w:t>ского Совета от 23.12.2011 года № 50/345 «О местном бюджете на 2012 год и плановый период</w:t>
      </w:r>
      <w:proofErr w:type="gramEnd"/>
      <w:r w:rsidRPr="00444D23">
        <w:rPr>
          <w:color w:val="000000"/>
          <w:sz w:val="26"/>
          <w:szCs w:val="26"/>
        </w:rPr>
        <w:t xml:space="preserve"> 2013 и 2014 годов» (с учетом внесенных изменений)</w:t>
      </w:r>
      <w:r>
        <w:rPr>
          <w:b/>
          <w:color w:val="000000"/>
          <w:sz w:val="26"/>
          <w:szCs w:val="26"/>
        </w:rPr>
        <w:t>.</w:t>
      </w:r>
    </w:p>
    <w:p w:rsidR="00C835E4" w:rsidRPr="0071732E" w:rsidRDefault="00C835E4" w:rsidP="00040ECC">
      <w:pPr>
        <w:tabs>
          <w:tab w:val="left" w:pos="851"/>
        </w:tabs>
        <w:ind w:left="720"/>
        <w:jc w:val="both"/>
        <w:rPr>
          <w:color w:val="000000"/>
        </w:rPr>
      </w:pPr>
      <w:r w:rsidRPr="0071732E">
        <w:rPr>
          <w:color w:val="000000"/>
        </w:rPr>
        <w:t xml:space="preserve">                                                                                                               Таблица № </w:t>
      </w:r>
      <w:r>
        <w:rPr>
          <w:color w:val="000000"/>
        </w:rPr>
        <w:t>1</w:t>
      </w:r>
    </w:p>
    <w:tbl>
      <w:tblPr>
        <w:tblW w:w="11354" w:type="dxa"/>
        <w:tblInd w:w="94" w:type="dxa"/>
        <w:tblLayout w:type="fixed"/>
        <w:tblLook w:val="04A0"/>
      </w:tblPr>
      <w:tblGrid>
        <w:gridCol w:w="581"/>
        <w:gridCol w:w="7655"/>
        <w:gridCol w:w="1417"/>
        <w:gridCol w:w="1701"/>
      </w:tblGrid>
      <w:tr w:rsidR="00C835E4" w:rsidRPr="00397BA1" w:rsidTr="00040ECC">
        <w:trPr>
          <w:trHeight w:val="315"/>
        </w:trPr>
        <w:tc>
          <w:tcPr>
            <w:tcW w:w="581" w:type="dxa"/>
            <w:noWrap/>
            <w:vAlign w:val="bottom"/>
            <w:hideMark/>
          </w:tcPr>
          <w:p w:rsidR="00C835E4" w:rsidRPr="00397BA1" w:rsidRDefault="00C835E4" w:rsidP="009C7057">
            <w:r w:rsidRPr="00397BA1">
              <w:t> </w:t>
            </w:r>
          </w:p>
        </w:tc>
        <w:tc>
          <w:tcPr>
            <w:tcW w:w="7655" w:type="dxa"/>
            <w:noWrap/>
            <w:vAlign w:val="bottom"/>
            <w:hideMark/>
          </w:tcPr>
          <w:p w:rsidR="00C835E4" w:rsidRPr="00397BA1" w:rsidRDefault="00C835E4" w:rsidP="009F3AD4">
            <w:pPr>
              <w:jc w:val="center"/>
              <w:rPr>
                <w:b/>
                <w:sz w:val="20"/>
                <w:szCs w:val="20"/>
              </w:rPr>
            </w:pPr>
            <w:r w:rsidRPr="00FE2E0F">
              <w:rPr>
                <w:b/>
              </w:rPr>
              <w:t xml:space="preserve">Анализ </w:t>
            </w:r>
            <w:r>
              <w:rPr>
                <w:b/>
              </w:rPr>
              <w:t>исполнения расходных полномочий в разрезе главных ра</w:t>
            </w:r>
            <w:r>
              <w:rPr>
                <w:b/>
              </w:rPr>
              <w:t>с</w:t>
            </w:r>
            <w:r>
              <w:rPr>
                <w:b/>
              </w:rPr>
              <w:t>порядителей бюджетных средств за 9 месяцев 2012 года</w:t>
            </w:r>
          </w:p>
        </w:tc>
        <w:tc>
          <w:tcPr>
            <w:tcW w:w="1417" w:type="dxa"/>
            <w:noWrap/>
            <w:vAlign w:val="bottom"/>
            <w:hideMark/>
          </w:tcPr>
          <w:p w:rsidR="00C835E4" w:rsidRPr="00397BA1" w:rsidRDefault="00C835E4" w:rsidP="00040ECC">
            <w:pPr>
              <w:rPr>
                <w:sz w:val="20"/>
                <w:szCs w:val="20"/>
              </w:rPr>
            </w:pPr>
            <w:r w:rsidRPr="00397BA1">
              <w:rPr>
                <w:sz w:val="20"/>
                <w:szCs w:val="20"/>
              </w:rPr>
              <w:t>тыс</w:t>
            </w:r>
            <w:proofErr w:type="gramStart"/>
            <w:r w:rsidRPr="00397BA1">
              <w:rPr>
                <w:sz w:val="20"/>
                <w:szCs w:val="20"/>
              </w:rPr>
              <w:t>.р</w:t>
            </w:r>
            <w:proofErr w:type="gramEnd"/>
            <w:r w:rsidRPr="00397BA1">
              <w:rPr>
                <w:sz w:val="20"/>
                <w:szCs w:val="20"/>
              </w:rPr>
              <w:t>уб.</w:t>
            </w:r>
          </w:p>
        </w:tc>
        <w:tc>
          <w:tcPr>
            <w:tcW w:w="1701" w:type="dxa"/>
            <w:vAlign w:val="bottom"/>
          </w:tcPr>
          <w:p w:rsidR="00C835E4" w:rsidRPr="00397BA1" w:rsidRDefault="00C835E4" w:rsidP="009C7057">
            <w:pPr>
              <w:rPr>
                <w:sz w:val="20"/>
                <w:szCs w:val="20"/>
              </w:rPr>
            </w:pPr>
          </w:p>
        </w:tc>
      </w:tr>
    </w:tbl>
    <w:p w:rsidR="00C835E4" w:rsidRPr="00C6102A" w:rsidRDefault="00C835E4" w:rsidP="00040ECC">
      <w:pPr>
        <w:tabs>
          <w:tab w:val="right" w:pos="0"/>
          <w:tab w:val="left" w:pos="567"/>
          <w:tab w:val="left" w:pos="709"/>
          <w:tab w:val="left" w:pos="993"/>
        </w:tabs>
        <w:ind w:left="360"/>
        <w:jc w:val="both"/>
        <w:rPr>
          <w:color w:val="000000"/>
          <w:sz w:val="26"/>
          <w:szCs w:val="26"/>
        </w:rPr>
      </w:pPr>
    </w:p>
    <w:tbl>
      <w:tblPr>
        <w:tblW w:w="8720" w:type="dxa"/>
        <w:tblInd w:w="94" w:type="dxa"/>
        <w:tblLook w:val="04A0"/>
      </w:tblPr>
      <w:tblGrid>
        <w:gridCol w:w="4500"/>
        <w:gridCol w:w="1320"/>
        <w:gridCol w:w="1460"/>
        <w:gridCol w:w="1440"/>
      </w:tblGrid>
      <w:tr w:rsidR="00C835E4" w:rsidRPr="00040ECC" w:rsidTr="00040ECC">
        <w:trPr>
          <w:trHeight w:val="9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5E4" w:rsidRPr="00040ECC" w:rsidRDefault="00C835E4" w:rsidP="00040ECC">
            <w:pPr>
              <w:jc w:val="center"/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35E4" w:rsidRPr="00A00313" w:rsidRDefault="00C835E4" w:rsidP="009F3AD4">
            <w:pPr>
              <w:jc w:val="center"/>
              <w:rPr>
                <w:sz w:val="16"/>
                <w:szCs w:val="16"/>
              </w:rPr>
            </w:pPr>
            <w:r w:rsidRPr="00A00313">
              <w:rPr>
                <w:sz w:val="16"/>
                <w:szCs w:val="16"/>
              </w:rPr>
              <w:t>Плановые н</w:t>
            </w:r>
            <w:r w:rsidRPr="00A00313">
              <w:rPr>
                <w:sz w:val="16"/>
                <w:szCs w:val="16"/>
              </w:rPr>
              <w:t>а</w:t>
            </w:r>
            <w:r w:rsidRPr="00A00313">
              <w:rPr>
                <w:sz w:val="16"/>
                <w:szCs w:val="16"/>
              </w:rPr>
              <w:t>значения  на 201</w:t>
            </w:r>
            <w:r>
              <w:rPr>
                <w:sz w:val="16"/>
                <w:szCs w:val="16"/>
              </w:rPr>
              <w:t>2</w:t>
            </w:r>
            <w:r w:rsidRPr="00A00313">
              <w:rPr>
                <w:sz w:val="16"/>
                <w:szCs w:val="16"/>
              </w:rPr>
              <w:t xml:space="preserve"> год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35E4" w:rsidRPr="00A00313" w:rsidRDefault="00C835E4" w:rsidP="00A850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35E4" w:rsidRPr="00040ECC" w:rsidRDefault="00C835E4" w:rsidP="00040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C835E4" w:rsidRPr="00040ECC" w:rsidTr="00040ECC">
        <w:trPr>
          <w:trHeight w:val="58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Совет народных депутатов Белогорского г</w:t>
            </w:r>
            <w:r w:rsidRPr="00040ECC">
              <w:rPr>
                <w:color w:val="000000"/>
                <w:sz w:val="22"/>
                <w:szCs w:val="22"/>
              </w:rPr>
              <w:t>о</w:t>
            </w:r>
            <w:r w:rsidRPr="00040ECC">
              <w:rPr>
                <w:color w:val="000000"/>
                <w:sz w:val="22"/>
                <w:szCs w:val="22"/>
              </w:rPr>
              <w:t>родского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9F3A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C835E4" w:rsidRPr="00040ECC" w:rsidTr="00040ECC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Администрация г. Белогорска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261125,3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C835E4" w:rsidRPr="00040ECC" w:rsidTr="00040ECC">
        <w:trPr>
          <w:trHeight w:val="6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МКУ «Финансовое управление Администр</w:t>
            </w:r>
            <w:r w:rsidRPr="00040ECC">
              <w:rPr>
                <w:color w:val="000000"/>
                <w:sz w:val="22"/>
                <w:szCs w:val="22"/>
              </w:rPr>
              <w:t>а</w:t>
            </w:r>
            <w:r w:rsidRPr="00040ECC">
              <w:rPr>
                <w:color w:val="000000"/>
                <w:sz w:val="22"/>
                <w:szCs w:val="22"/>
              </w:rPr>
              <w:t>ции города Белогорска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15617,6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C835E4" w:rsidRPr="00040ECC" w:rsidTr="00040ECC">
        <w:trPr>
          <w:trHeight w:val="6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МКУ "Комитет имущественных отношений Администрации г. Белогорск"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48241,7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835E4" w:rsidRPr="00040ECC" w:rsidRDefault="00C835E4" w:rsidP="008222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C835E4" w:rsidRPr="00040ECC" w:rsidTr="00040ECC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Контрольно-счетная палата муниципального образования г. Белогорск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C835E4" w:rsidRPr="00040ECC" w:rsidTr="00040ECC">
        <w:trPr>
          <w:trHeight w:val="6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МКУ "Управление жилищно-коммунального хозяйства Администрации г</w:t>
            </w:r>
            <w:proofErr w:type="gramStart"/>
            <w:r w:rsidRPr="00040EC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040ECC">
              <w:rPr>
                <w:color w:val="000000"/>
                <w:sz w:val="22"/>
                <w:szCs w:val="22"/>
              </w:rPr>
              <w:t>елогорск"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497600,6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432939,1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C835E4" w:rsidRPr="00040ECC" w:rsidTr="00040ECC">
        <w:trPr>
          <w:trHeight w:val="9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МКУ «Служба по обеспечению деятельности органов местного самоуправления» города Белогорск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C835E4" w:rsidRPr="00040ECC" w:rsidTr="00FE328F">
        <w:trPr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МКУ «Управление по физической культуре и спорту Администрации города Белогорск»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28830,8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C835E4" w:rsidRPr="00040ECC" w:rsidTr="00FE328F">
        <w:trPr>
          <w:trHeight w:val="9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lastRenderedPageBreak/>
              <w:t>МКУ "Управление по делам гражданской обороны и чрезвычайным ситуациям города Белогорск"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C835E4" w:rsidRPr="00040ECC" w:rsidTr="00FE328F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МКУ «Комитет по образованию, делам м</w:t>
            </w:r>
            <w:r w:rsidRPr="00040ECC">
              <w:rPr>
                <w:color w:val="000000"/>
                <w:sz w:val="22"/>
                <w:szCs w:val="22"/>
              </w:rPr>
              <w:t>о</w:t>
            </w:r>
            <w:r w:rsidRPr="00040ECC">
              <w:rPr>
                <w:color w:val="000000"/>
                <w:sz w:val="22"/>
                <w:szCs w:val="22"/>
              </w:rPr>
              <w:t>лодежи  Администрации г. Белогорск»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601943,8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383452,9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C835E4" w:rsidRPr="00040ECC" w:rsidTr="00040ECC">
        <w:trPr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МКУ «Управление культуры Администр</w:t>
            </w:r>
            <w:r w:rsidRPr="00040ECC">
              <w:rPr>
                <w:color w:val="000000"/>
                <w:sz w:val="22"/>
                <w:szCs w:val="22"/>
              </w:rPr>
              <w:t>а</w:t>
            </w:r>
            <w:r w:rsidRPr="00040ECC">
              <w:rPr>
                <w:color w:val="000000"/>
                <w:sz w:val="22"/>
                <w:szCs w:val="22"/>
              </w:rPr>
              <w:t>ции г. Белогорск»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92157,7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C835E4" w:rsidRPr="00040ECC" w:rsidTr="00040ECC">
        <w:trPr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rPr>
                <w:color w:val="000000"/>
                <w:sz w:val="22"/>
                <w:szCs w:val="22"/>
              </w:rPr>
            </w:pPr>
            <w:r w:rsidRPr="00040ECC">
              <w:rPr>
                <w:color w:val="000000"/>
                <w:sz w:val="22"/>
                <w:szCs w:val="22"/>
              </w:rPr>
              <w:t>МУ «Управление здравоохранения Админ</w:t>
            </w:r>
            <w:r w:rsidRPr="00040ECC">
              <w:rPr>
                <w:color w:val="000000"/>
                <w:sz w:val="22"/>
                <w:szCs w:val="22"/>
              </w:rPr>
              <w:t>и</w:t>
            </w:r>
            <w:r w:rsidRPr="00040ECC">
              <w:rPr>
                <w:color w:val="000000"/>
                <w:sz w:val="22"/>
                <w:szCs w:val="22"/>
              </w:rPr>
              <w:t>страции г. Белогорск»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835E4" w:rsidRPr="00040ECC" w:rsidTr="00040ECC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5E4" w:rsidRPr="00040ECC" w:rsidRDefault="00C835E4" w:rsidP="00040EC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40EC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1587628,8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1039166,4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5E4" w:rsidRPr="00040ECC" w:rsidRDefault="00C835E4" w:rsidP="00040E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65,5</w:t>
            </w:r>
          </w:p>
        </w:tc>
      </w:tr>
    </w:tbl>
    <w:p w:rsidR="00C835E4" w:rsidRDefault="00C835E4" w:rsidP="000F065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firstLine="360"/>
        <w:jc w:val="both"/>
        <w:rPr>
          <w:sz w:val="26"/>
          <w:szCs w:val="26"/>
        </w:rPr>
      </w:pPr>
    </w:p>
    <w:p w:rsidR="00C835E4" w:rsidRDefault="00C835E4" w:rsidP="000F0657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Долгосрочные городские целевые программы исполнены на 53,9%. На исполнение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граммных мероприятий за 9 месяцев</w:t>
      </w:r>
      <w:r w:rsidRPr="001A44BA">
        <w:rPr>
          <w:sz w:val="26"/>
          <w:szCs w:val="26"/>
        </w:rPr>
        <w:t xml:space="preserve"> </w:t>
      </w:r>
      <w:r>
        <w:rPr>
          <w:sz w:val="26"/>
          <w:szCs w:val="26"/>
        </w:rPr>
        <w:t>2012 года было направлено из городского бюджета 112237,7 тыс. руб., при годовых плановых назначениях 208112,0 тыс. руб.</w:t>
      </w:r>
    </w:p>
    <w:p w:rsidR="00C835E4" w:rsidRPr="005006EE" w:rsidRDefault="00C835E4" w:rsidP="008629FD">
      <w:pPr>
        <w:tabs>
          <w:tab w:val="num" w:pos="0"/>
          <w:tab w:val="right" w:pos="180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  <w:highlight w:val="yellow"/>
        </w:rPr>
      </w:pPr>
    </w:p>
    <w:p w:rsidR="00C835E4" w:rsidRPr="00983CE7" w:rsidRDefault="00C835E4" w:rsidP="008629FD">
      <w:pPr>
        <w:tabs>
          <w:tab w:val="num" w:pos="0"/>
          <w:tab w:val="right" w:pos="180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983CE7">
        <w:rPr>
          <w:sz w:val="26"/>
          <w:szCs w:val="26"/>
        </w:rPr>
        <w:t xml:space="preserve">На основании </w:t>
      </w:r>
      <w:proofErr w:type="gramStart"/>
      <w:r w:rsidRPr="00983CE7">
        <w:rPr>
          <w:sz w:val="26"/>
          <w:szCs w:val="26"/>
        </w:rPr>
        <w:t>изложенного</w:t>
      </w:r>
      <w:proofErr w:type="gramEnd"/>
      <w:r w:rsidRPr="00983CE7">
        <w:rPr>
          <w:sz w:val="26"/>
          <w:szCs w:val="26"/>
        </w:rPr>
        <w:t>, Контрольно-счетная палата г. Белогорска рекомендует:</w:t>
      </w:r>
    </w:p>
    <w:p w:rsidR="00C835E4" w:rsidRPr="00983CE7" w:rsidRDefault="00C835E4" w:rsidP="008629FD">
      <w:pPr>
        <w:numPr>
          <w:ilvl w:val="0"/>
          <w:numId w:val="9"/>
        </w:numPr>
        <w:tabs>
          <w:tab w:val="num" w:pos="0"/>
          <w:tab w:val="right" w:pos="180"/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983CE7">
        <w:rPr>
          <w:sz w:val="26"/>
          <w:szCs w:val="26"/>
        </w:rPr>
        <w:t>Р</w:t>
      </w:r>
      <w:r w:rsidRPr="00983CE7">
        <w:rPr>
          <w:color w:val="000000"/>
          <w:sz w:val="26"/>
          <w:szCs w:val="26"/>
        </w:rPr>
        <w:t xml:space="preserve">азработчикам проекта местного бюджета при внесении изменений в плановые ассигнования доходной части проводить анализ </w:t>
      </w:r>
      <w:r>
        <w:rPr>
          <w:color w:val="000000"/>
          <w:sz w:val="26"/>
          <w:szCs w:val="26"/>
        </w:rPr>
        <w:t xml:space="preserve">поступлений </w:t>
      </w:r>
      <w:r w:rsidRPr="00983CE7">
        <w:rPr>
          <w:color w:val="000000"/>
          <w:sz w:val="26"/>
          <w:szCs w:val="26"/>
        </w:rPr>
        <w:t>по всем доходным показат</w:t>
      </w:r>
      <w:r w:rsidRPr="00983CE7">
        <w:rPr>
          <w:color w:val="000000"/>
          <w:sz w:val="26"/>
          <w:szCs w:val="26"/>
        </w:rPr>
        <w:t>е</w:t>
      </w:r>
      <w:r w:rsidRPr="00983CE7">
        <w:rPr>
          <w:color w:val="000000"/>
          <w:sz w:val="26"/>
          <w:szCs w:val="26"/>
        </w:rPr>
        <w:t>лям.</w:t>
      </w:r>
      <w:r w:rsidRPr="00983CE7">
        <w:rPr>
          <w:sz w:val="26"/>
          <w:szCs w:val="26"/>
        </w:rPr>
        <w:t xml:space="preserve"> </w:t>
      </w:r>
    </w:p>
    <w:p w:rsidR="00C835E4" w:rsidRPr="00983CE7" w:rsidRDefault="00C835E4" w:rsidP="008629FD">
      <w:pPr>
        <w:numPr>
          <w:ilvl w:val="0"/>
          <w:numId w:val="9"/>
        </w:numPr>
        <w:tabs>
          <w:tab w:val="num" w:pos="0"/>
          <w:tab w:val="right" w:pos="180"/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983CE7">
        <w:rPr>
          <w:sz w:val="26"/>
          <w:szCs w:val="26"/>
        </w:rPr>
        <w:t xml:space="preserve">Главным распорядителям бюджетных средств усилить </w:t>
      </w:r>
      <w:proofErr w:type="gramStart"/>
      <w:r w:rsidRPr="00983CE7">
        <w:rPr>
          <w:sz w:val="26"/>
          <w:szCs w:val="26"/>
        </w:rPr>
        <w:t>контроль за</w:t>
      </w:r>
      <w:proofErr w:type="gramEnd"/>
      <w:r w:rsidRPr="00983CE7">
        <w:rPr>
          <w:sz w:val="26"/>
          <w:szCs w:val="26"/>
        </w:rPr>
        <w:t xml:space="preserve"> исполнением программных мероприятий, предусмотренных в долгосрочных целевых программах. </w:t>
      </w:r>
    </w:p>
    <w:p w:rsidR="00C835E4" w:rsidRPr="00983CE7" w:rsidRDefault="00C835E4" w:rsidP="00A15647">
      <w:pPr>
        <w:tabs>
          <w:tab w:val="left" w:pos="0"/>
        </w:tabs>
        <w:jc w:val="both"/>
        <w:rPr>
          <w:sz w:val="26"/>
          <w:szCs w:val="26"/>
        </w:rPr>
      </w:pPr>
    </w:p>
    <w:p w:rsidR="00C835E4" w:rsidRPr="00983CE7" w:rsidRDefault="00C835E4" w:rsidP="00A15647">
      <w:pPr>
        <w:tabs>
          <w:tab w:val="left" w:pos="0"/>
        </w:tabs>
        <w:jc w:val="both"/>
        <w:rPr>
          <w:sz w:val="26"/>
          <w:szCs w:val="26"/>
        </w:rPr>
      </w:pPr>
    </w:p>
    <w:p w:rsidR="00C835E4" w:rsidRPr="00D76883" w:rsidRDefault="00C835E4" w:rsidP="00A15647">
      <w:pPr>
        <w:tabs>
          <w:tab w:val="left" w:pos="0"/>
        </w:tabs>
        <w:jc w:val="both"/>
        <w:rPr>
          <w:sz w:val="26"/>
          <w:szCs w:val="26"/>
        </w:rPr>
      </w:pPr>
    </w:p>
    <w:p w:rsidR="00C835E4" w:rsidRPr="00D76883" w:rsidRDefault="00C835E4" w:rsidP="00A15647">
      <w:pPr>
        <w:tabs>
          <w:tab w:val="left" w:pos="0"/>
        </w:tabs>
        <w:jc w:val="both"/>
        <w:rPr>
          <w:sz w:val="26"/>
          <w:szCs w:val="26"/>
        </w:rPr>
      </w:pPr>
    </w:p>
    <w:p w:rsidR="00C835E4" w:rsidRPr="00D76883" w:rsidRDefault="00C835E4" w:rsidP="00A15647">
      <w:pPr>
        <w:tabs>
          <w:tab w:val="left" w:pos="0"/>
        </w:tabs>
        <w:jc w:val="both"/>
        <w:rPr>
          <w:sz w:val="26"/>
          <w:szCs w:val="26"/>
        </w:rPr>
      </w:pPr>
    </w:p>
    <w:sectPr w:rsidR="00C835E4" w:rsidRPr="00D76883" w:rsidSect="00063D86">
      <w:headerReference w:type="default" r:id="rId9"/>
      <w:pgSz w:w="11909" w:h="16834" w:code="9"/>
      <w:pgMar w:top="909" w:right="567" w:bottom="567" w:left="1247" w:header="454" w:footer="454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E4" w:rsidRDefault="00C835E4" w:rsidP="008629FD">
      <w:r>
        <w:separator/>
      </w:r>
    </w:p>
  </w:endnote>
  <w:endnote w:type="continuationSeparator" w:id="0">
    <w:p w:rsidR="00C835E4" w:rsidRDefault="00C835E4" w:rsidP="0086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E4" w:rsidRDefault="00C835E4" w:rsidP="008629FD">
      <w:r>
        <w:separator/>
      </w:r>
    </w:p>
  </w:footnote>
  <w:footnote w:type="continuationSeparator" w:id="0">
    <w:p w:rsidR="00C835E4" w:rsidRDefault="00C835E4" w:rsidP="00862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E4" w:rsidRDefault="00C835E4">
    <w:pPr>
      <w:pStyle w:val="aa"/>
      <w:jc w:val="right"/>
    </w:pPr>
  </w:p>
  <w:p w:rsidR="00C835E4" w:rsidRDefault="00C835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6CCD"/>
    <w:multiLevelType w:val="hybridMultilevel"/>
    <w:tmpl w:val="9EDA92E2"/>
    <w:lvl w:ilvl="0" w:tplc="0419000F">
      <w:start w:val="1"/>
      <w:numFmt w:val="decimal"/>
      <w:lvlText w:val="%1."/>
      <w:lvlJc w:val="left"/>
      <w:pPr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  <w:rPr>
        <w:rFonts w:cs="Times New Roman"/>
      </w:rPr>
    </w:lvl>
  </w:abstractNum>
  <w:abstractNum w:abstractNumId="1">
    <w:nsid w:val="13751D69"/>
    <w:multiLevelType w:val="hybridMultilevel"/>
    <w:tmpl w:val="1A64E022"/>
    <w:lvl w:ilvl="0" w:tplc="5786284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154664D9"/>
    <w:multiLevelType w:val="hybridMultilevel"/>
    <w:tmpl w:val="415AA3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00514F4"/>
    <w:multiLevelType w:val="hybridMultilevel"/>
    <w:tmpl w:val="1F8C9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97782F"/>
    <w:multiLevelType w:val="hybridMultilevel"/>
    <w:tmpl w:val="88F215AE"/>
    <w:lvl w:ilvl="0" w:tplc="743C93B2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A687C"/>
    <w:multiLevelType w:val="hybridMultilevel"/>
    <w:tmpl w:val="6FB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821541"/>
    <w:multiLevelType w:val="hybridMultilevel"/>
    <w:tmpl w:val="7AFA3018"/>
    <w:lvl w:ilvl="0" w:tplc="6AACD1F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98C7161"/>
    <w:multiLevelType w:val="hybridMultilevel"/>
    <w:tmpl w:val="4A24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9C1940"/>
    <w:multiLevelType w:val="hybridMultilevel"/>
    <w:tmpl w:val="D344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C33798"/>
    <w:multiLevelType w:val="hybridMultilevel"/>
    <w:tmpl w:val="FD88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34ECD"/>
    <w:multiLevelType w:val="hybridMultilevel"/>
    <w:tmpl w:val="9FF87F8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11">
    <w:nsid w:val="5F807FC1"/>
    <w:multiLevelType w:val="hybridMultilevel"/>
    <w:tmpl w:val="86AC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A283E"/>
    <w:multiLevelType w:val="hybridMultilevel"/>
    <w:tmpl w:val="305EEB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86D6650"/>
    <w:multiLevelType w:val="hybridMultilevel"/>
    <w:tmpl w:val="D3F037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5BB"/>
    <w:rsid w:val="000013E2"/>
    <w:rsid w:val="00011E4D"/>
    <w:rsid w:val="00040ECC"/>
    <w:rsid w:val="00060BA7"/>
    <w:rsid w:val="00063D86"/>
    <w:rsid w:val="00082559"/>
    <w:rsid w:val="000E019C"/>
    <w:rsid w:val="000F0657"/>
    <w:rsid w:val="001948D3"/>
    <w:rsid w:val="00195367"/>
    <w:rsid w:val="001A44BA"/>
    <w:rsid w:val="001B6A07"/>
    <w:rsid w:val="001C26E7"/>
    <w:rsid w:val="001D0F78"/>
    <w:rsid w:val="001D155A"/>
    <w:rsid w:val="001F1970"/>
    <w:rsid w:val="001F4C63"/>
    <w:rsid w:val="0020100E"/>
    <w:rsid w:val="00202312"/>
    <w:rsid w:val="002119E1"/>
    <w:rsid w:val="0023186D"/>
    <w:rsid w:val="00257442"/>
    <w:rsid w:val="00264657"/>
    <w:rsid w:val="0027502F"/>
    <w:rsid w:val="00275B77"/>
    <w:rsid w:val="00277F01"/>
    <w:rsid w:val="002D3805"/>
    <w:rsid w:val="002E010C"/>
    <w:rsid w:val="002F7303"/>
    <w:rsid w:val="003270B9"/>
    <w:rsid w:val="0033214B"/>
    <w:rsid w:val="00355290"/>
    <w:rsid w:val="00357807"/>
    <w:rsid w:val="00363FCA"/>
    <w:rsid w:val="00372A26"/>
    <w:rsid w:val="00373E88"/>
    <w:rsid w:val="00380BEA"/>
    <w:rsid w:val="00397BA1"/>
    <w:rsid w:val="003C6CE1"/>
    <w:rsid w:val="003D2025"/>
    <w:rsid w:val="00417198"/>
    <w:rsid w:val="00444D23"/>
    <w:rsid w:val="004632A4"/>
    <w:rsid w:val="004804DD"/>
    <w:rsid w:val="004A3D87"/>
    <w:rsid w:val="004A573B"/>
    <w:rsid w:val="004D7759"/>
    <w:rsid w:val="005006EE"/>
    <w:rsid w:val="00502784"/>
    <w:rsid w:val="00512E01"/>
    <w:rsid w:val="00531288"/>
    <w:rsid w:val="00532329"/>
    <w:rsid w:val="0053387C"/>
    <w:rsid w:val="00536B99"/>
    <w:rsid w:val="00537B4F"/>
    <w:rsid w:val="00541BD5"/>
    <w:rsid w:val="00553C39"/>
    <w:rsid w:val="00584147"/>
    <w:rsid w:val="00591B7C"/>
    <w:rsid w:val="005A3B57"/>
    <w:rsid w:val="006131A1"/>
    <w:rsid w:val="00616366"/>
    <w:rsid w:val="00623CAC"/>
    <w:rsid w:val="006251BD"/>
    <w:rsid w:val="00633575"/>
    <w:rsid w:val="00641A57"/>
    <w:rsid w:val="00644636"/>
    <w:rsid w:val="00646F27"/>
    <w:rsid w:val="00650AA6"/>
    <w:rsid w:val="00654A85"/>
    <w:rsid w:val="006604B1"/>
    <w:rsid w:val="00663A04"/>
    <w:rsid w:val="0069173D"/>
    <w:rsid w:val="006917BF"/>
    <w:rsid w:val="006958AA"/>
    <w:rsid w:val="006E6172"/>
    <w:rsid w:val="0070671E"/>
    <w:rsid w:val="0071732E"/>
    <w:rsid w:val="007555D1"/>
    <w:rsid w:val="00760F48"/>
    <w:rsid w:val="00767A1C"/>
    <w:rsid w:val="007B0A37"/>
    <w:rsid w:val="007D1C7B"/>
    <w:rsid w:val="007D23E0"/>
    <w:rsid w:val="007F1793"/>
    <w:rsid w:val="008105FB"/>
    <w:rsid w:val="008131FF"/>
    <w:rsid w:val="00817141"/>
    <w:rsid w:val="008209A2"/>
    <w:rsid w:val="00822257"/>
    <w:rsid w:val="00845F4D"/>
    <w:rsid w:val="00846777"/>
    <w:rsid w:val="008629FD"/>
    <w:rsid w:val="00874B5F"/>
    <w:rsid w:val="00883EFC"/>
    <w:rsid w:val="008A204C"/>
    <w:rsid w:val="008A666A"/>
    <w:rsid w:val="008B48CA"/>
    <w:rsid w:val="008D2CE0"/>
    <w:rsid w:val="008E06C1"/>
    <w:rsid w:val="008F3F87"/>
    <w:rsid w:val="00900E0C"/>
    <w:rsid w:val="00902C00"/>
    <w:rsid w:val="00907357"/>
    <w:rsid w:val="009155BB"/>
    <w:rsid w:val="0094168E"/>
    <w:rsid w:val="00983CE7"/>
    <w:rsid w:val="00984E2B"/>
    <w:rsid w:val="009B04F4"/>
    <w:rsid w:val="009C5EF3"/>
    <w:rsid w:val="009C7057"/>
    <w:rsid w:val="009E2EDF"/>
    <w:rsid w:val="009E6884"/>
    <w:rsid w:val="009F3AD4"/>
    <w:rsid w:val="00A00313"/>
    <w:rsid w:val="00A05322"/>
    <w:rsid w:val="00A05B83"/>
    <w:rsid w:val="00A06400"/>
    <w:rsid w:val="00A150CE"/>
    <w:rsid w:val="00A15647"/>
    <w:rsid w:val="00A55084"/>
    <w:rsid w:val="00A765F1"/>
    <w:rsid w:val="00A772BD"/>
    <w:rsid w:val="00A80FA7"/>
    <w:rsid w:val="00A850FA"/>
    <w:rsid w:val="00A901BC"/>
    <w:rsid w:val="00A95C28"/>
    <w:rsid w:val="00AA6DDF"/>
    <w:rsid w:val="00AB0421"/>
    <w:rsid w:val="00AC45A1"/>
    <w:rsid w:val="00AD0F1B"/>
    <w:rsid w:val="00AD6876"/>
    <w:rsid w:val="00AF47BC"/>
    <w:rsid w:val="00B51C0D"/>
    <w:rsid w:val="00B60263"/>
    <w:rsid w:val="00B71938"/>
    <w:rsid w:val="00B94B63"/>
    <w:rsid w:val="00BB48D2"/>
    <w:rsid w:val="00BC2D7F"/>
    <w:rsid w:val="00BC2DC0"/>
    <w:rsid w:val="00BC53DB"/>
    <w:rsid w:val="00C0252B"/>
    <w:rsid w:val="00C0376F"/>
    <w:rsid w:val="00C140AC"/>
    <w:rsid w:val="00C34A06"/>
    <w:rsid w:val="00C6102A"/>
    <w:rsid w:val="00C760D5"/>
    <w:rsid w:val="00C835E4"/>
    <w:rsid w:val="00C964B2"/>
    <w:rsid w:val="00CA2473"/>
    <w:rsid w:val="00CB28D9"/>
    <w:rsid w:val="00CD5D2B"/>
    <w:rsid w:val="00CE70FB"/>
    <w:rsid w:val="00D0053E"/>
    <w:rsid w:val="00D00980"/>
    <w:rsid w:val="00D14DC0"/>
    <w:rsid w:val="00D33B31"/>
    <w:rsid w:val="00D359A2"/>
    <w:rsid w:val="00D62177"/>
    <w:rsid w:val="00D704D1"/>
    <w:rsid w:val="00D76883"/>
    <w:rsid w:val="00DA5F96"/>
    <w:rsid w:val="00DB30F7"/>
    <w:rsid w:val="00DB5AD5"/>
    <w:rsid w:val="00DB660D"/>
    <w:rsid w:val="00DD30E2"/>
    <w:rsid w:val="00DD5074"/>
    <w:rsid w:val="00DE43FF"/>
    <w:rsid w:val="00DF09A9"/>
    <w:rsid w:val="00E04FE0"/>
    <w:rsid w:val="00E16ACE"/>
    <w:rsid w:val="00EC285C"/>
    <w:rsid w:val="00EF41CD"/>
    <w:rsid w:val="00F02046"/>
    <w:rsid w:val="00F2689C"/>
    <w:rsid w:val="00F6609A"/>
    <w:rsid w:val="00F7196D"/>
    <w:rsid w:val="00F8578F"/>
    <w:rsid w:val="00FA5003"/>
    <w:rsid w:val="00FA6E75"/>
    <w:rsid w:val="00FB701E"/>
    <w:rsid w:val="00FE16A5"/>
    <w:rsid w:val="00FE2E0F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AD5"/>
    <w:pPr>
      <w:keepNext/>
      <w:spacing w:line="360" w:lineRule="auto"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uiPriority w:val="9"/>
    <w:qFormat/>
    <w:rsid w:val="00DB5AD5"/>
    <w:pPr>
      <w:keepNext/>
      <w:jc w:val="center"/>
      <w:outlineLvl w:val="1"/>
    </w:pPr>
    <w:rPr>
      <w:b/>
      <w:spacing w:val="110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5A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DB5AD5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3CAC"/>
    <w:rPr>
      <w:rFonts w:cs="Times New Roman"/>
      <w:b/>
      <w:spacing w:val="1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7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E07BE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Основной текст с отступом.Надин стиль"/>
    <w:basedOn w:val="a"/>
    <w:rsid w:val="00DB5AD5"/>
    <w:pPr>
      <w:ind w:right="-766"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rsid w:val="00DB5A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07BE"/>
    <w:rPr>
      <w:sz w:val="24"/>
      <w:szCs w:val="24"/>
    </w:rPr>
  </w:style>
  <w:style w:type="paragraph" w:customStyle="1" w:styleId="ConsNormal">
    <w:name w:val="ConsNormal"/>
    <w:rsid w:val="00DB5AD5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6">
    <w:name w:val="Основной текст.Основной текст Знак"/>
    <w:rsid w:val="00DB5AD5"/>
    <w:pPr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rsid w:val="006446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E07BE"/>
    <w:rPr>
      <w:sz w:val="24"/>
      <w:szCs w:val="24"/>
    </w:rPr>
  </w:style>
  <w:style w:type="paragraph" w:customStyle="1" w:styleId="ConsPlusNormal">
    <w:name w:val="ConsPlusNormal"/>
    <w:rsid w:val="00644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5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4804DD"/>
    <w:pPr>
      <w:ind w:left="708"/>
    </w:pPr>
  </w:style>
  <w:style w:type="paragraph" w:styleId="aa">
    <w:name w:val="header"/>
    <w:basedOn w:val="a"/>
    <w:link w:val="ab"/>
    <w:uiPriority w:val="99"/>
    <w:rsid w:val="008629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629FD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629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629F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67A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67A1C"/>
    <w:rPr>
      <w:rFonts w:cs="Times New Roman"/>
      <w:sz w:val="16"/>
      <w:szCs w:val="16"/>
    </w:rPr>
  </w:style>
  <w:style w:type="paragraph" w:customStyle="1" w:styleId="ListParagraph1">
    <w:name w:val="List Paragraph1"/>
    <w:basedOn w:val="a"/>
    <w:rsid w:val="00767A1C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770</Words>
  <Characters>5376</Characters>
  <Application>Microsoft Office Word</Application>
  <DocSecurity>0</DocSecurity>
  <Lines>44</Lines>
  <Paragraphs>12</Paragraphs>
  <ScaleCrop>false</ScaleCrop>
  <Company>Fin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Klient2</cp:lastModifiedBy>
  <cp:revision>6</cp:revision>
  <cp:lastPrinted>2012-11-08T06:03:00Z</cp:lastPrinted>
  <dcterms:created xsi:type="dcterms:W3CDTF">2012-11-08T05:04:00Z</dcterms:created>
  <dcterms:modified xsi:type="dcterms:W3CDTF">2015-10-15T04:51:00Z</dcterms:modified>
</cp:coreProperties>
</file>