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83" w:rsidRDefault="006E7183" w:rsidP="006E7183">
      <w:pPr>
        <w:widowControl w:val="0"/>
        <w:ind w:firstLine="708"/>
        <w:jc w:val="right"/>
      </w:pPr>
      <w:r>
        <w:t>Приложение № 1</w:t>
      </w:r>
    </w:p>
    <w:p w:rsidR="006E7183" w:rsidRDefault="006E7183" w:rsidP="006E7183">
      <w:pPr>
        <w:widowControl w:val="0"/>
        <w:ind w:firstLine="708"/>
        <w:jc w:val="center"/>
      </w:pPr>
    </w:p>
    <w:p w:rsidR="006E7183" w:rsidRPr="00723553" w:rsidRDefault="006E7183" w:rsidP="006E7183">
      <w:pPr>
        <w:widowControl w:val="0"/>
        <w:ind w:firstLine="708"/>
        <w:jc w:val="center"/>
      </w:pPr>
      <w:r>
        <w:t xml:space="preserve">Информация о субъектах малого предпринимательства, социально ориентированных некоммерческих организаций (далее - СМП, СОНКО), вовлеченных в осуществление закупок товаров, работ, услуг для обеспечения </w:t>
      </w:r>
      <w:r w:rsidRPr="00723553">
        <w:t>муниципальных нужд</w:t>
      </w:r>
    </w:p>
    <w:p w:rsidR="006E7183" w:rsidRDefault="006E7183" w:rsidP="006E7183">
      <w:pPr>
        <w:widowControl w:val="0"/>
        <w:ind w:firstLine="708"/>
        <w:jc w:val="center"/>
      </w:pPr>
      <w:r w:rsidRPr="006E7183">
        <w:rPr>
          <w:b/>
        </w:rPr>
        <w:t xml:space="preserve">за </w:t>
      </w:r>
      <w:r>
        <w:rPr>
          <w:b/>
        </w:rPr>
        <w:t xml:space="preserve">2023 год, </w:t>
      </w:r>
      <w:r>
        <w:t>в соответствии с Федеральным законом от 05 апреля 2013 № 44-ФЗ</w:t>
      </w:r>
      <w:r w:rsidR="00954D46" w:rsidRPr="00954D46">
        <w:t>*</w:t>
      </w:r>
    </w:p>
    <w:p w:rsidR="006E7183" w:rsidRDefault="006E7183" w:rsidP="006E7183">
      <w:pPr>
        <w:widowControl w:val="0"/>
        <w:ind w:firstLine="708"/>
        <w:jc w:val="center"/>
        <w:rPr>
          <w:b/>
        </w:rPr>
      </w:pPr>
      <w:r>
        <w:rPr>
          <w:b/>
        </w:rPr>
        <w:t>по муниципальному образованию город Белогорск</w:t>
      </w:r>
    </w:p>
    <w:p w:rsidR="006E7183" w:rsidRDefault="006E7183" w:rsidP="006E7183">
      <w:pPr>
        <w:widowControl w:val="0"/>
        <w:ind w:firstLine="708"/>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361"/>
        <w:gridCol w:w="1630"/>
        <w:gridCol w:w="1429"/>
        <w:gridCol w:w="1611"/>
        <w:gridCol w:w="1451"/>
        <w:gridCol w:w="1611"/>
        <w:gridCol w:w="1331"/>
        <w:gridCol w:w="1364"/>
        <w:gridCol w:w="1590"/>
      </w:tblGrid>
      <w:tr w:rsidR="006E7183" w:rsidTr="006E7183">
        <w:trPr>
          <w:trHeight w:val="20"/>
        </w:trPr>
        <w:tc>
          <w:tcPr>
            <w:tcW w:w="662" w:type="pct"/>
            <w:vMerge w:val="restart"/>
            <w:shd w:val="clear" w:color="auto" w:fill="auto"/>
            <w:hideMark/>
          </w:tcPr>
          <w:p w:rsidR="006E7183" w:rsidRDefault="006E7183" w:rsidP="00AA0FA6">
            <w:pPr>
              <w:jc w:val="center"/>
              <w:rPr>
                <w:color w:val="000000"/>
                <w:sz w:val="22"/>
                <w:szCs w:val="22"/>
              </w:rPr>
            </w:pPr>
            <w:r>
              <w:rPr>
                <w:color w:val="000000"/>
                <w:sz w:val="22"/>
                <w:szCs w:val="22"/>
              </w:rPr>
              <w:t>Совокупный годовой объем закупок для СМП, СОНКО (тыс. руб.)</w:t>
            </w:r>
          </w:p>
        </w:tc>
        <w:tc>
          <w:tcPr>
            <w:tcW w:w="1966" w:type="pct"/>
            <w:gridSpan w:val="4"/>
            <w:shd w:val="clear" w:color="auto" w:fill="auto"/>
            <w:hideMark/>
          </w:tcPr>
          <w:p w:rsidR="006E7183" w:rsidRDefault="006E7183" w:rsidP="00AA0FA6">
            <w:pPr>
              <w:jc w:val="center"/>
              <w:rPr>
                <w:color w:val="000000"/>
                <w:sz w:val="22"/>
                <w:szCs w:val="22"/>
              </w:rPr>
            </w:pPr>
            <w:r>
              <w:rPr>
                <w:color w:val="000000"/>
                <w:sz w:val="22"/>
                <w:szCs w:val="22"/>
              </w:rPr>
              <w:t>Фактический объем закупок у СМП, СОНКО</w:t>
            </w:r>
          </w:p>
        </w:tc>
        <w:tc>
          <w:tcPr>
            <w:tcW w:w="998" w:type="pct"/>
            <w:gridSpan w:val="2"/>
            <w:vMerge w:val="restart"/>
            <w:shd w:val="clear" w:color="auto" w:fill="auto"/>
            <w:hideMark/>
          </w:tcPr>
          <w:p w:rsidR="006E7183" w:rsidRDefault="006E7183" w:rsidP="00AA0FA6">
            <w:pPr>
              <w:jc w:val="center"/>
              <w:rPr>
                <w:color w:val="000000"/>
                <w:sz w:val="22"/>
                <w:szCs w:val="22"/>
              </w:rPr>
            </w:pPr>
            <w:r>
              <w:rPr>
                <w:color w:val="000000"/>
                <w:sz w:val="22"/>
                <w:szCs w:val="22"/>
              </w:rPr>
              <w:t>Фактический объем закупок у СМП, СОНКО осуществленный   на открытых конкурах в электронной форме, открытых аукционах в электронной форме</w:t>
            </w:r>
          </w:p>
        </w:tc>
        <w:tc>
          <w:tcPr>
            <w:tcW w:w="1375" w:type="pct"/>
            <w:gridSpan w:val="3"/>
            <w:vMerge w:val="restart"/>
            <w:shd w:val="clear" w:color="auto" w:fill="auto"/>
            <w:hideMark/>
          </w:tcPr>
          <w:p w:rsidR="006E7183" w:rsidRDefault="006E7183" w:rsidP="00AA0FA6">
            <w:pPr>
              <w:jc w:val="center"/>
              <w:rPr>
                <w:color w:val="000000"/>
                <w:sz w:val="22"/>
                <w:szCs w:val="22"/>
              </w:rPr>
            </w:pPr>
            <w:r>
              <w:rPr>
                <w:color w:val="000000"/>
                <w:sz w:val="22"/>
                <w:szCs w:val="22"/>
              </w:rPr>
              <w:t>Социально ориентированные некоммерческие организации, зарегистрированные на территории  ДФО</w:t>
            </w:r>
          </w:p>
        </w:tc>
      </w:tr>
      <w:tr w:rsidR="006E7183" w:rsidTr="006E7183">
        <w:trPr>
          <w:trHeight w:val="20"/>
        </w:trPr>
        <w:tc>
          <w:tcPr>
            <w:tcW w:w="662" w:type="pct"/>
            <w:vMerge/>
            <w:vAlign w:val="center"/>
            <w:hideMark/>
          </w:tcPr>
          <w:p w:rsidR="006E7183" w:rsidRDefault="006E7183" w:rsidP="00AA0FA6">
            <w:pPr>
              <w:rPr>
                <w:color w:val="000000"/>
                <w:sz w:val="22"/>
                <w:szCs w:val="22"/>
              </w:rPr>
            </w:pPr>
          </w:p>
        </w:tc>
        <w:tc>
          <w:tcPr>
            <w:tcW w:w="975" w:type="pct"/>
            <w:gridSpan w:val="2"/>
            <w:shd w:val="clear" w:color="auto" w:fill="auto"/>
            <w:hideMark/>
          </w:tcPr>
          <w:p w:rsidR="006E7183" w:rsidRDefault="006E7183" w:rsidP="00AA0FA6">
            <w:pPr>
              <w:jc w:val="center"/>
              <w:rPr>
                <w:color w:val="000000"/>
                <w:sz w:val="22"/>
                <w:szCs w:val="22"/>
              </w:rPr>
            </w:pPr>
            <w:r>
              <w:rPr>
                <w:color w:val="000000"/>
                <w:sz w:val="22"/>
                <w:szCs w:val="22"/>
              </w:rPr>
              <w:t>Объем закупок</w:t>
            </w:r>
            <w:r>
              <w:rPr>
                <w:b/>
                <w:bCs/>
                <w:color w:val="000000"/>
                <w:sz w:val="22"/>
                <w:szCs w:val="22"/>
              </w:rPr>
              <w:t>¹ у СМП, СОНКО</w:t>
            </w:r>
          </w:p>
        </w:tc>
        <w:tc>
          <w:tcPr>
            <w:tcW w:w="991" w:type="pct"/>
            <w:gridSpan w:val="2"/>
            <w:shd w:val="clear" w:color="auto" w:fill="auto"/>
            <w:hideMark/>
          </w:tcPr>
          <w:p w:rsidR="006E7183" w:rsidRDefault="006E7183" w:rsidP="00AA0FA6">
            <w:pPr>
              <w:jc w:val="both"/>
              <w:rPr>
                <w:color w:val="000000"/>
                <w:sz w:val="20"/>
                <w:szCs w:val="20"/>
              </w:rPr>
            </w:pPr>
            <w:r>
              <w:rPr>
                <w:color w:val="000000"/>
                <w:sz w:val="20"/>
                <w:szCs w:val="20"/>
              </w:rPr>
              <w:t>Объем закупок с привлечением к  исполнению контракта субподрядчиков (соисполнителей) из числа СМП и СОНКО</w:t>
            </w:r>
            <w:r w:rsidR="009478EB">
              <w:rPr>
                <w:b/>
                <w:color w:val="000000"/>
                <w:sz w:val="20"/>
                <w:szCs w:val="20"/>
              </w:rPr>
              <w:t xml:space="preserve"> </w:t>
            </w:r>
            <w:r w:rsidRPr="000053FC">
              <w:rPr>
                <w:b/>
                <w:bCs/>
                <w:color w:val="000000"/>
                <w:sz w:val="20"/>
                <w:szCs w:val="20"/>
              </w:rPr>
              <w:t>²</w:t>
            </w:r>
            <w:r>
              <w:rPr>
                <w:b/>
                <w:bCs/>
                <w:color w:val="000000"/>
                <w:sz w:val="20"/>
                <w:szCs w:val="20"/>
              </w:rPr>
              <w:t xml:space="preserve"> </w:t>
            </w:r>
          </w:p>
        </w:tc>
        <w:tc>
          <w:tcPr>
            <w:tcW w:w="998" w:type="pct"/>
            <w:gridSpan w:val="2"/>
            <w:vMerge/>
            <w:vAlign w:val="center"/>
            <w:hideMark/>
          </w:tcPr>
          <w:p w:rsidR="006E7183" w:rsidRDefault="006E7183" w:rsidP="00AA0FA6">
            <w:pPr>
              <w:rPr>
                <w:color w:val="000000"/>
                <w:sz w:val="22"/>
                <w:szCs w:val="22"/>
              </w:rPr>
            </w:pPr>
          </w:p>
        </w:tc>
        <w:tc>
          <w:tcPr>
            <w:tcW w:w="1375" w:type="pct"/>
            <w:gridSpan w:val="3"/>
            <w:vMerge/>
            <w:vAlign w:val="center"/>
            <w:hideMark/>
          </w:tcPr>
          <w:p w:rsidR="006E7183" w:rsidRDefault="006E7183" w:rsidP="00AA0FA6">
            <w:pPr>
              <w:rPr>
                <w:color w:val="000000"/>
                <w:sz w:val="22"/>
                <w:szCs w:val="22"/>
              </w:rPr>
            </w:pPr>
          </w:p>
        </w:tc>
      </w:tr>
      <w:tr w:rsidR="006E7183" w:rsidTr="006E7183">
        <w:trPr>
          <w:trHeight w:val="20"/>
        </w:trPr>
        <w:tc>
          <w:tcPr>
            <w:tcW w:w="662" w:type="pct"/>
            <w:vMerge/>
            <w:vAlign w:val="center"/>
            <w:hideMark/>
          </w:tcPr>
          <w:p w:rsidR="006E7183" w:rsidRDefault="006E7183" w:rsidP="00AA0FA6">
            <w:pPr>
              <w:rPr>
                <w:color w:val="000000"/>
                <w:sz w:val="22"/>
                <w:szCs w:val="22"/>
              </w:rPr>
            </w:pPr>
          </w:p>
        </w:tc>
        <w:tc>
          <w:tcPr>
            <w:tcW w:w="444" w:type="pct"/>
            <w:shd w:val="clear" w:color="auto" w:fill="auto"/>
            <w:hideMark/>
          </w:tcPr>
          <w:p w:rsidR="006E7183" w:rsidRDefault="006E7183" w:rsidP="009478EB">
            <w:pPr>
              <w:jc w:val="center"/>
              <w:rPr>
                <w:color w:val="000000"/>
                <w:sz w:val="22"/>
                <w:szCs w:val="22"/>
              </w:rPr>
            </w:pPr>
            <w:r>
              <w:rPr>
                <w:color w:val="000000"/>
                <w:sz w:val="22"/>
                <w:szCs w:val="22"/>
              </w:rPr>
              <w:t>Кол-во контрактов (ед.)</w:t>
            </w:r>
          </w:p>
        </w:tc>
        <w:tc>
          <w:tcPr>
            <w:tcW w:w="530" w:type="pct"/>
            <w:shd w:val="clear" w:color="auto" w:fill="auto"/>
            <w:hideMark/>
          </w:tcPr>
          <w:p w:rsidR="009478EB" w:rsidRDefault="006E7183" w:rsidP="00AA0FA6">
            <w:pPr>
              <w:jc w:val="center"/>
              <w:rPr>
                <w:color w:val="000000"/>
                <w:sz w:val="22"/>
                <w:szCs w:val="22"/>
              </w:rPr>
            </w:pPr>
            <w:r>
              <w:rPr>
                <w:color w:val="000000"/>
                <w:sz w:val="22"/>
                <w:szCs w:val="22"/>
              </w:rPr>
              <w:t>Сумма денежных средств</w:t>
            </w:r>
          </w:p>
          <w:p w:rsidR="006E7183" w:rsidRDefault="006E7183" w:rsidP="00AA0FA6">
            <w:pPr>
              <w:jc w:val="center"/>
              <w:rPr>
                <w:color w:val="000000"/>
                <w:sz w:val="22"/>
                <w:szCs w:val="22"/>
              </w:rPr>
            </w:pPr>
            <w:r>
              <w:rPr>
                <w:color w:val="000000"/>
                <w:sz w:val="22"/>
                <w:szCs w:val="22"/>
              </w:rPr>
              <w:t>(тыс. руб.)</w:t>
            </w:r>
            <w:r>
              <w:rPr>
                <w:b/>
                <w:bCs/>
                <w:color w:val="000000"/>
                <w:sz w:val="22"/>
                <w:szCs w:val="22"/>
              </w:rPr>
              <w:t>¹</w:t>
            </w:r>
          </w:p>
        </w:tc>
        <w:tc>
          <w:tcPr>
            <w:tcW w:w="466" w:type="pct"/>
            <w:shd w:val="clear" w:color="auto" w:fill="auto"/>
            <w:hideMark/>
          </w:tcPr>
          <w:p w:rsidR="006E7183" w:rsidRDefault="006E7183" w:rsidP="009478EB">
            <w:pPr>
              <w:jc w:val="center"/>
              <w:rPr>
                <w:color w:val="000000"/>
                <w:sz w:val="22"/>
                <w:szCs w:val="22"/>
              </w:rPr>
            </w:pPr>
            <w:r>
              <w:rPr>
                <w:color w:val="000000"/>
                <w:sz w:val="22"/>
                <w:szCs w:val="22"/>
              </w:rPr>
              <w:t>Кол-во контрактов (ед.)</w:t>
            </w:r>
          </w:p>
        </w:tc>
        <w:tc>
          <w:tcPr>
            <w:tcW w:w="525" w:type="pct"/>
            <w:shd w:val="clear" w:color="auto" w:fill="auto"/>
            <w:hideMark/>
          </w:tcPr>
          <w:p w:rsidR="006E7183" w:rsidRDefault="006E7183" w:rsidP="00AA0FA6">
            <w:pPr>
              <w:jc w:val="center"/>
              <w:rPr>
                <w:color w:val="000000"/>
                <w:sz w:val="22"/>
                <w:szCs w:val="22"/>
              </w:rPr>
            </w:pPr>
            <w:r>
              <w:rPr>
                <w:color w:val="000000"/>
                <w:sz w:val="22"/>
                <w:szCs w:val="22"/>
              </w:rPr>
              <w:t>Сумма денежных средств</w:t>
            </w:r>
          </w:p>
          <w:p w:rsidR="006E7183" w:rsidRDefault="006E7183" w:rsidP="00AA0FA6">
            <w:pPr>
              <w:jc w:val="center"/>
              <w:rPr>
                <w:color w:val="000000"/>
                <w:sz w:val="22"/>
                <w:szCs w:val="22"/>
              </w:rPr>
            </w:pPr>
            <w:r>
              <w:rPr>
                <w:color w:val="000000"/>
                <w:sz w:val="22"/>
                <w:szCs w:val="22"/>
              </w:rPr>
              <w:t>(тыс. руб.)</w:t>
            </w:r>
            <w:r>
              <w:rPr>
                <w:b/>
                <w:bCs/>
                <w:color w:val="000000"/>
                <w:sz w:val="22"/>
                <w:szCs w:val="22"/>
              </w:rPr>
              <w:t>²</w:t>
            </w:r>
          </w:p>
        </w:tc>
        <w:tc>
          <w:tcPr>
            <w:tcW w:w="473" w:type="pct"/>
            <w:shd w:val="clear" w:color="auto" w:fill="auto"/>
            <w:hideMark/>
          </w:tcPr>
          <w:p w:rsidR="006E7183" w:rsidRDefault="006E7183" w:rsidP="009478EB">
            <w:pPr>
              <w:jc w:val="center"/>
              <w:rPr>
                <w:color w:val="000000"/>
                <w:sz w:val="22"/>
                <w:szCs w:val="22"/>
              </w:rPr>
            </w:pPr>
            <w:r>
              <w:rPr>
                <w:color w:val="000000"/>
                <w:sz w:val="22"/>
                <w:szCs w:val="22"/>
              </w:rPr>
              <w:t>Всего закупок (шт.)</w:t>
            </w:r>
          </w:p>
        </w:tc>
        <w:tc>
          <w:tcPr>
            <w:tcW w:w="525" w:type="pct"/>
            <w:shd w:val="clear" w:color="auto" w:fill="auto"/>
            <w:hideMark/>
          </w:tcPr>
          <w:p w:rsidR="006E7183" w:rsidRDefault="006E7183" w:rsidP="00AA0FA6">
            <w:pPr>
              <w:jc w:val="center"/>
              <w:rPr>
                <w:color w:val="000000"/>
                <w:sz w:val="22"/>
                <w:szCs w:val="22"/>
              </w:rPr>
            </w:pPr>
            <w:r>
              <w:rPr>
                <w:color w:val="000000"/>
                <w:sz w:val="22"/>
                <w:szCs w:val="22"/>
              </w:rPr>
              <w:t>Объем закупок (тыс. руб.)</w:t>
            </w:r>
          </w:p>
        </w:tc>
        <w:tc>
          <w:tcPr>
            <w:tcW w:w="434" w:type="pct"/>
            <w:shd w:val="clear" w:color="auto" w:fill="auto"/>
            <w:hideMark/>
          </w:tcPr>
          <w:p w:rsidR="006E7183" w:rsidRDefault="006E7183" w:rsidP="00AA0FA6">
            <w:pPr>
              <w:jc w:val="center"/>
              <w:rPr>
                <w:color w:val="000000"/>
                <w:sz w:val="22"/>
                <w:szCs w:val="22"/>
              </w:rPr>
            </w:pPr>
            <w:r>
              <w:rPr>
                <w:color w:val="000000"/>
                <w:sz w:val="22"/>
                <w:szCs w:val="22"/>
              </w:rPr>
              <w:t>Всего закупок (шт.)</w:t>
            </w:r>
          </w:p>
        </w:tc>
        <w:tc>
          <w:tcPr>
            <w:tcW w:w="445" w:type="pct"/>
            <w:shd w:val="clear" w:color="auto" w:fill="auto"/>
            <w:hideMark/>
          </w:tcPr>
          <w:p w:rsidR="006E7183" w:rsidRDefault="006E7183" w:rsidP="00AA0FA6">
            <w:pPr>
              <w:jc w:val="center"/>
              <w:rPr>
                <w:color w:val="000000"/>
                <w:sz w:val="22"/>
                <w:szCs w:val="22"/>
              </w:rPr>
            </w:pPr>
            <w:r>
              <w:rPr>
                <w:color w:val="000000"/>
                <w:sz w:val="22"/>
                <w:szCs w:val="22"/>
              </w:rPr>
              <w:t>Объем закупок (тыс. руб.)</w:t>
            </w:r>
          </w:p>
        </w:tc>
        <w:tc>
          <w:tcPr>
            <w:tcW w:w="496" w:type="pct"/>
            <w:shd w:val="clear" w:color="auto" w:fill="auto"/>
            <w:hideMark/>
          </w:tcPr>
          <w:p w:rsidR="006E7183" w:rsidRDefault="006E7183" w:rsidP="00AA0FA6">
            <w:pPr>
              <w:jc w:val="center"/>
              <w:rPr>
                <w:color w:val="000000"/>
                <w:sz w:val="22"/>
                <w:szCs w:val="22"/>
              </w:rPr>
            </w:pPr>
            <w:r>
              <w:rPr>
                <w:color w:val="000000"/>
                <w:sz w:val="22"/>
                <w:szCs w:val="22"/>
              </w:rPr>
              <w:t>Наименование</w:t>
            </w:r>
          </w:p>
        </w:tc>
      </w:tr>
      <w:tr w:rsidR="006E7183" w:rsidTr="006E7183">
        <w:trPr>
          <w:trHeight w:val="20"/>
        </w:trPr>
        <w:tc>
          <w:tcPr>
            <w:tcW w:w="662" w:type="pct"/>
            <w:shd w:val="clear" w:color="auto" w:fill="auto"/>
            <w:vAlign w:val="center"/>
            <w:hideMark/>
          </w:tcPr>
          <w:p w:rsidR="006E7183" w:rsidRDefault="006E7183" w:rsidP="00AA0FA6">
            <w:pPr>
              <w:jc w:val="center"/>
              <w:rPr>
                <w:color w:val="000000"/>
                <w:sz w:val="22"/>
                <w:szCs w:val="22"/>
              </w:rPr>
            </w:pPr>
            <w:r>
              <w:rPr>
                <w:color w:val="000000"/>
                <w:sz w:val="22"/>
                <w:szCs w:val="22"/>
              </w:rPr>
              <w:t>1</w:t>
            </w:r>
          </w:p>
        </w:tc>
        <w:tc>
          <w:tcPr>
            <w:tcW w:w="1966" w:type="pct"/>
            <w:gridSpan w:val="4"/>
            <w:shd w:val="clear" w:color="auto" w:fill="auto"/>
            <w:vAlign w:val="center"/>
            <w:hideMark/>
          </w:tcPr>
          <w:p w:rsidR="006E7183" w:rsidRDefault="006E7183" w:rsidP="00AA0FA6">
            <w:pPr>
              <w:jc w:val="center"/>
              <w:rPr>
                <w:color w:val="000000"/>
                <w:sz w:val="22"/>
                <w:szCs w:val="22"/>
              </w:rPr>
            </w:pPr>
            <w:r>
              <w:rPr>
                <w:color w:val="000000"/>
                <w:sz w:val="22"/>
                <w:szCs w:val="22"/>
              </w:rPr>
              <w:t>2</w:t>
            </w:r>
          </w:p>
        </w:tc>
        <w:tc>
          <w:tcPr>
            <w:tcW w:w="998" w:type="pct"/>
            <w:gridSpan w:val="2"/>
            <w:shd w:val="clear" w:color="auto" w:fill="auto"/>
            <w:vAlign w:val="center"/>
            <w:hideMark/>
          </w:tcPr>
          <w:p w:rsidR="006E7183" w:rsidRDefault="006E7183" w:rsidP="00AA0FA6">
            <w:pPr>
              <w:jc w:val="center"/>
              <w:rPr>
                <w:color w:val="000000"/>
                <w:sz w:val="22"/>
                <w:szCs w:val="22"/>
              </w:rPr>
            </w:pPr>
            <w:r>
              <w:rPr>
                <w:color w:val="000000"/>
                <w:sz w:val="22"/>
                <w:szCs w:val="22"/>
              </w:rPr>
              <w:t>3</w:t>
            </w:r>
          </w:p>
        </w:tc>
        <w:tc>
          <w:tcPr>
            <w:tcW w:w="1375" w:type="pct"/>
            <w:gridSpan w:val="3"/>
            <w:shd w:val="clear" w:color="auto" w:fill="auto"/>
            <w:vAlign w:val="center"/>
            <w:hideMark/>
          </w:tcPr>
          <w:p w:rsidR="006E7183" w:rsidRDefault="006E7183" w:rsidP="00AA0FA6">
            <w:pPr>
              <w:jc w:val="center"/>
              <w:rPr>
                <w:color w:val="000000"/>
                <w:sz w:val="22"/>
                <w:szCs w:val="22"/>
              </w:rPr>
            </w:pPr>
            <w:r>
              <w:rPr>
                <w:color w:val="000000"/>
                <w:sz w:val="22"/>
                <w:szCs w:val="22"/>
              </w:rPr>
              <w:t>4</w:t>
            </w:r>
          </w:p>
        </w:tc>
      </w:tr>
      <w:tr w:rsidR="006E7183" w:rsidTr="006E7183">
        <w:trPr>
          <w:trHeight w:val="20"/>
        </w:trPr>
        <w:tc>
          <w:tcPr>
            <w:tcW w:w="662" w:type="pct"/>
            <w:shd w:val="clear" w:color="auto" w:fill="auto"/>
            <w:vAlign w:val="center"/>
          </w:tcPr>
          <w:p w:rsidR="006E7183" w:rsidRPr="00F70718" w:rsidRDefault="006E7183" w:rsidP="00AA0FA6">
            <w:pPr>
              <w:jc w:val="center"/>
              <w:rPr>
                <w:color w:val="000000"/>
              </w:rPr>
            </w:pPr>
            <w:r w:rsidRPr="00F70718">
              <w:rPr>
                <w:color w:val="000000"/>
              </w:rPr>
              <w:t>384 087,006</w:t>
            </w:r>
          </w:p>
        </w:tc>
        <w:tc>
          <w:tcPr>
            <w:tcW w:w="444" w:type="pct"/>
            <w:shd w:val="clear" w:color="auto" w:fill="auto"/>
            <w:vAlign w:val="center"/>
          </w:tcPr>
          <w:p w:rsidR="006E7183" w:rsidRPr="00F70718" w:rsidRDefault="006E7183" w:rsidP="00AA0FA6">
            <w:pPr>
              <w:jc w:val="center"/>
              <w:rPr>
                <w:color w:val="000000"/>
              </w:rPr>
            </w:pPr>
            <w:r w:rsidRPr="00F70718">
              <w:rPr>
                <w:color w:val="000000"/>
              </w:rPr>
              <w:t>114</w:t>
            </w:r>
          </w:p>
        </w:tc>
        <w:tc>
          <w:tcPr>
            <w:tcW w:w="530" w:type="pct"/>
            <w:shd w:val="clear" w:color="auto" w:fill="auto"/>
            <w:vAlign w:val="center"/>
          </w:tcPr>
          <w:p w:rsidR="006E7183" w:rsidRPr="00F70718" w:rsidRDefault="006E7183" w:rsidP="00AA0FA6">
            <w:pPr>
              <w:jc w:val="center"/>
              <w:rPr>
                <w:color w:val="000000"/>
              </w:rPr>
            </w:pPr>
            <w:r w:rsidRPr="00F70718">
              <w:rPr>
                <w:color w:val="000000"/>
              </w:rPr>
              <w:t>84 933,746</w:t>
            </w:r>
          </w:p>
        </w:tc>
        <w:tc>
          <w:tcPr>
            <w:tcW w:w="466" w:type="pct"/>
            <w:shd w:val="clear" w:color="auto" w:fill="auto"/>
            <w:vAlign w:val="center"/>
          </w:tcPr>
          <w:p w:rsidR="006E7183" w:rsidRDefault="006E7183" w:rsidP="00AA0FA6">
            <w:pPr>
              <w:jc w:val="center"/>
              <w:rPr>
                <w:color w:val="000000"/>
              </w:rPr>
            </w:pPr>
            <w:r>
              <w:rPr>
                <w:color w:val="000000"/>
              </w:rPr>
              <w:t>2</w:t>
            </w:r>
          </w:p>
        </w:tc>
        <w:tc>
          <w:tcPr>
            <w:tcW w:w="525" w:type="pct"/>
            <w:shd w:val="clear" w:color="auto" w:fill="auto"/>
            <w:vAlign w:val="center"/>
          </w:tcPr>
          <w:p w:rsidR="006E7183" w:rsidRDefault="006E7183" w:rsidP="00AA0FA6">
            <w:pPr>
              <w:jc w:val="center"/>
              <w:rPr>
                <w:color w:val="000000"/>
              </w:rPr>
            </w:pPr>
            <w:r>
              <w:rPr>
                <w:color w:val="000000"/>
              </w:rPr>
              <w:t>119 086,463</w:t>
            </w:r>
          </w:p>
        </w:tc>
        <w:tc>
          <w:tcPr>
            <w:tcW w:w="473" w:type="pct"/>
            <w:shd w:val="clear" w:color="auto" w:fill="auto"/>
            <w:vAlign w:val="center"/>
          </w:tcPr>
          <w:p w:rsidR="006E7183" w:rsidRPr="00F70718" w:rsidRDefault="006E7183" w:rsidP="00AA0FA6">
            <w:pPr>
              <w:jc w:val="center"/>
              <w:rPr>
                <w:color w:val="000000"/>
              </w:rPr>
            </w:pPr>
            <w:r w:rsidRPr="00F70718">
              <w:rPr>
                <w:color w:val="000000"/>
              </w:rPr>
              <w:t>112</w:t>
            </w:r>
          </w:p>
        </w:tc>
        <w:tc>
          <w:tcPr>
            <w:tcW w:w="525" w:type="pct"/>
            <w:shd w:val="clear" w:color="auto" w:fill="auto"/>
            <w:vAlign w:val="center"/>
          </w:tcPr>
          <w:p w:rsidR="006E7183" w:rsidRPr="00F70718" w:rsidRDefault="006E7183" w:rsidP="00AA0FA6">
            <w:pPr>
              <w:jc w:val="center"/>
              <w:rPr>
                <w:color w:val="000000"/>
              </w:rPr>
            </w:pPr>
            <w:r w:rsidRPr="00F70718">
              <w:rPr>
                <w:color w:val="000000"/>
              </w:rPr>
              <w:t>84 523,746</w:t>
            </w:r>
          </w:p>
        </w:tc>
        <w:tc>
          <w:tcPr>
            <w:tcW w:w="434" w:type="pct"/>
            <w:shd w:val="clear" w:color="auto" w:fill="auto"/>
            <w:vAlign w:val="center"/>
          </w:tcPr>
          <w:p w:rsidR="006E7183" w:rsidRPr="00F70718" w:rsidRDefault="006E7183" w:rsidP="00AA0FA6">
            <w:pPr>
              <w:jc w:val="center"/>
              <w:rPr>
                <w:color w:val="000000"/>
              </w:rPr>
            </w:pPr>
            <w:r w:rsidRPr="00F70718">
              <w:rPr>
                <w:color w:val="000000"/>
              </w:rPr>
              <w:t>0</w:t>
            </w:r>
          </w:p>
        </w:tc>
        <w:tc>
          <w:tcPr>
            <w:tcW w:w="445" w:type="pct"/>
            <w:shd w:val="clear" w:color="auto" w:fill="auto"/>
            <w:vAlign w:val="center"/>
          </w:tcPr>
          <w:p w:rsidR="006E7183" w:rsidRPr="00F70718" w:rsidRDefault="006E7183" w:rsidP="00AA0FA6">
            <w:pPr>
              <w:jc w:val="center"/>
              <w:rPr>
                <w:color w:val="000000"/>
              </w:rPr>
            </w:pPr>
            <w:r w:rsidRPr="00F70718">
              <w:rPr>
                <w:color w:val="000000"/>
              </w:rPr>
              <w:t>0,000</w:t>
            </w:r>
          </w:p>
        </w:tc>
        <w:tc>
          <w:tcPr>
            <w:tcW w:w="496" w:type="pct"/>
            <w:shd w:val="clear" w:color="auto" w:fill="auto"/>
            <w:vAlign w:val="center"/>
          </w:tcPr>
          <w:p w:rsidR="006E7183" w:rsidRDefault="006E7183" w:rsidP="00AA0FA6">
            <w:pPr>
              <w:jc w:val="center"/>
              <w:rPr>
                <w:color w:val="000000"/>
              </w:rPr>
            </w:pPr>
            <w:r>
              <w:rPr>
                <w:color w:val="000000"/>
              </w:rPr>
              <w:t xml:space="preserve"> - </w:t>
            </w:r>
          </w:p>
        </w:tc>
      </w:tr>
    </w:tbl>
    <w:p w:rsidR="006E7183" w:rsidRDefault="006E7183"/>
    <w:tbl>
      <w:tblPr>
        <w:tblW w:w="5000" w:type="pct"/>
        <w:tblLook w:val="04A0" w:firstRow="1" w:lastRow="0" w:firstColumn="1" w:lastColumn="0" w:noHBand="0" w:noVBand="1"/>
      </w:tblPr>
      <w:tblGrid>
        <w:gridCol w:w="15420"/>
      </w:tblGrid>
      <w:tr w:rsidR="00954D46" w:rsidRPr="00954D46" w:rsidTr="00BF679E">
        <w:trPr>
          <w:trHeight w:val="480"/>
        </w:trPr>
        <w:tc>
          <w:tcPr>
            <w:tcW w:w="5000" w:type="pct"/>
            <w:shd w:val="clear" w:color="auto" w:fill="auto"/>
            <w:vAlign w:val="center"/>
            <w:hideMark/>
          </w:tcPr>
          <w:p w:rsidR="00954D46" w:rsidRPr="00954D46" w:rsidRDefault="00954D46" w:rsidP="00954D46">
            <w:pPr>
              <w:jc w:val="both"/>
              <w:rPr>
                <w:color w:val="000000"/>
                <w:sz w:val="22"/>
                <w:szCs w:val="22"/>
              </w:rPr>
            </w:pPr>
            <w:r w:rsidRPr="00954D46">
              <w:rPr>
                <w:color w:val="000000"/>
                <w:sz w:val="22"/>
                <w:szCs w:val="22"/>
              </w:rPr>
              <w:t>* Федеральный закон от 05.04.2013 № 44-ФЗ «О контрактной системе в сфере закупок товаров, работ, услуг для обеспечения государственных и муниципальных нужд» (далее-Закон).</w:t>
            </w:r>
          </w:p>
        </w:tc>
      </w:tr>
      <w:tr w:rsidR="00954D46" w:rsidRPr="00954D46" w:rsidTr="00BF679E">
        <w:trPr>
          <w:trHeight w:val="930"/>
        </w:trPr>
        <w:tc>
          <w:tcPr>
            <w:tcW w:w="5000" w:type="pct"/>
            <w:shd w:val="clear" w:color="auto" w:fill="auto"/>
            <w:vAlign w:val="center"/>
            <w:hideMark/>
          </w:tcPr>
          <w:p w:rsidR="00954D46" w:rsidRPr="00954D46" w:rsidRDefault="00954D46" w:rsidP="00954D46">
            <w:pPr>
              <w:jc w:val="both"/>
              <w:rPr>
                <w:color w:val="000000"/>
                <w:sz w:val="22"/>
                <w:szCs w:val="22"/>
              </w:rPr>
            </w:pPr>
            <w:r w:rsidRPr="00954D46">
              <w:rPr>
                <w:color w:val="000000"/>
                <w:sz w:val="22"/>
                <w:szCs w:val="22"/>
              </w:rPr>
              <w:t>а) по столбцу 1 «Совокупный годовой объем закупок для СМП, СОНКО» указывается совокупный годовой объем закупок, рассчитанный за вычетом закупок, предусмотренных ч.1.1 ст.30 Закона, как разница между совокупным годовым объемом закупок заказчика за отчетный год, определенный в соответствии с п.16 ст.3 Закона, и общим объемом финансового обеспечения для оплаты контрактов в отчетном году, в рамках осуществления закупок, предусмотренных ч.1.1 ст.30 Закона (тыс. рублей);</w:t>
            </w:r>
          </w:p>
        </w:tc>
      </w:tr>
      <w:tr w:rsidR="00954D46" w:rsidRPr="00954D46" w:rsidTr="00BF679E">
        <w:trPr>
          <w:trHeight w:val="345"/>
        </w:trPr>
        <w:tc>
          <w:tcPr>
            <w:tcW w:w="5000" w:type="pct"/>
            <w:shd w:val="clear" w:color="auto" w:fill="auto"/>
            <w:vAlign w:val="center"/>
            <w:hideMark/>
          </w:tcPr>
          <w:p w:rsidR="00954D46" w:rsidRPr="00954D46" w:rsidRDefault="00954D46" w:rsidP="00954D46">
            <w:pPr>
              <w:jc w:val="both"/>
              <w:rPr>
                <w:color w:val="000000"/>
                <w:sz w:val="22"/>
                <w:szCs w:val="22"/>
              </w:rPr>
            </w:pPr>
            <w:r w:rsidRPr="00954D46">
              <w:rPr>
                <w:color w:val="000000"/>
                <w:sz w:val="22"/>
                <w:szCs w:val="22"/>
              </w:rPr>
              <w:t>б) по столбцу 2 «Фактический объем закупок у СМП, СОНКО» указываются объем закупок, который заказчик осуществил у СМП, СОНКО и количество контрактов:</w:t>
            </w:r>
          </w:p>
        </w:tc>
      </w:tr>
      <w:tr w:rsidR="00954D46" w:rsidRPr="00954D46" w:rsidTr="00BF679E">
        <w:trPr>
          <w:trHeight w:val="570"/>
        </w:trPr>
        <w:tc>
          <w:tcPr>
            <w:tcW w:w="5000" w:type="pct"/>
            <w:shd w:val="clear" w:color="auto" w:fill="auto"/>
            <w:vAlign w:val="center"/>
            <w:hideMark/>
          </w:tcPr>
          <w:p w:rsidR="00954D46" w:rsidRPr="00954D46" w:rsidRDefault="00954D46" w:rsidP="00954D46">
            <w:pPr>
              <w:jc w:val="both"/>
              <w:rPr>
                <w:b/>
                <w:bCs/>
                <w:color w:val="000000"/>
                <w:sz w:val="22"/>
                <w:szCs w:val="22"/>
              </w:rPr>
            </w:pPr>
            <w:r w:rsidRPr="00954D46">
              <w:rPr>
                <w:b/>
                <w:bCs/>
                <w:color w:val="000000"/>
                <w:sz w:val="22"/>
                <w:szCs w:val="22"/>
              </w:rPr>
              <w:t>-¹объем закупок</w:t>
            </w:r>
            <w:r w:rsidRPr="00954D46">
              <w:rPr>
                <w:color w:val="000000"/>
                <w:sz w:val="22"/>
                <w:szCs w:val="22"/>
              </w:rPr>
              <w:t>, рассчитывается как сумма денежных средств, подлежащих оплате в отчетном финансовом году, по контрактам, заключенным в отчетном финансовом году, а также до начала отчетного финансового года по результатам определения поставщиков (подрядчиков, исполнителей), проведенного в соответствии с требованиями п. 1 ч. 1 ст. 30 Закона;</w:t>
            </w:r>
          </w:p>
        </w:tc>
      </w:tr>
      <w:tr w:rsidR="00954D46" w:rsidRPr="00954D46" w:rsidTr="00BF679E">
        <w:trPr>
          <w:trHeight w:val="2404"/>
        </w:trPr>
        <w:tc>
          <w:tcPr>
            <w:tcW w:w="5000" w:type="pct"/>
            <w:shd w:val="clear" w:color="auto" w:fill="auto"/>
            <w:vAlign w:val="center"/>
            <w:hideMark/>
          </w:tcPr>
          <w:p w:rsidR="00954D46" w:rsidRPr="00954D46" w:rsidRDefault="00954D46" w:rsidP="00954D46">
            <w:pPr>
              <w:jc w:val="both"/>
              <w:rPr>
                <w:color w:val="000000"/>
                <w:sz w:val="22"/>
                <w:szCs w:val="22"/>
              </w:rPr>
            </w:pPr>
            <w:r w:rsidRPr="00954D46">
              <w:rPr>
                <w:color w:val="000000"/>
                <w:sz w:val="22"/>
                <w:szCs w:val="22"/>
              </w:rPr>
              <w:lastRenderedPageBreak/>
              <w:t>-² объем закупок с привлечением к  исполнению контракта субподрядчиков (соисполнителей) из числа СМП и СОНКО - сумма денежных средств, подлежащих оплате поставщиками (подрядчиками, исполнителями) в отчетном финансовом году субподрядчикам (соисполнителям) из числа СМП и СОНКО, привлеченным к исполнению контрактов, заключенных в отчетном финансовом году, а также до начала отчетного финансового года по результатам определений поставщиков (подрядчиков, исполнителей), в извещениях, об осуществлении которых было установлено требование к поставщику (подрядчику, исполнителю), не являющемуся СМП или СОНКО, о привлечении к исполнению контракта субподрядчиков (соисполнителей) из числа СМП и СОНКО. При этом в этой позиции учитываются только объемы фактического привлечения в отчетном году к исполнению контрактов субподрядчиков (соисполнителей) из числа СМП и СОНКО, но не более объема, установленного условиями контракта в виде процента цены контракта. В случае если поставщик (подрядчик, исполнитель), с которым заключен контракт в соответствии с ч. 5 ст. 30  Закона, является СМП или СОНКО, то в этой позиции учитывается объем, установленный условиями контракта в виде процента цены контракта;</w:t>
            </w:r>
          </w:p>
        </w:tc>
      </w:tr>
      <w:tr w:rsidR="00954D46" w:rsidRPr="00954D46" w:rsidTr="00BF679E">
        <w:trPr>
          <w:trHeight w:val="930"/>
        </w:trPr>
        <w:tc>
          <w:tcPr>
            <w:tcW w:w="5000" w:type="pct"/>
            <w:shd w:val="clear" w:color="auto" w:fill="auto"/>
            <w:vAlign w:val="center"/>
            <w:hideMark/>
          </w:tcPr>
          <w:p w:rsidR="00954D46" w:rsidRPr="00954D46" w:rsidRDefault="00954D46" w:rsidP="00954D46">
            <w:pPr>
              <w:jc w:val="both"/>
              <w:rPr>
                <w:color w:val="000000"/>
                <w:sz w:val="22"/>
                <w:szCs w:val="22"/>
              </w:rPr>
            </w:pPr>
            <w:r w:rsidRPr="00954D46">
              <w:rPr>
                <w:color w:val="000000"/>
                <w:sz w:val="22"/>
                <w:szCs w:val="22"/>
              </w:rPr>
              <w:t xml:space="preserve">в) по столбцу 3 «Фактический объем закупок у СМП, СОНКО осуществленный на открытых </w:t>
            </w:r>
            <w:r w:rsidRPr="00954D46">
              <w:rPr>
                <w:b/>
                <w:bCs/>
                <w:color w:val="000000"/>
                <w:sz w:val="22"/>
                <w:szCs w:val="22"/>
              </w:rPr>
              <w:t>конкурсах</w:t>
            </w:r>
            <w:r w:rsidRPr="00954D46">
              <w:rPr>
                <w:color w:val="000000"/>
                <w:sz w:val="22"/>
                <w:szCs w:val="22"/>
              </w:rPr>
              <w:t xml:space="preserve"> в электронной форме, открытых </w:t>
            </w:r>
            <w:r w:rsidRPr="00954D46">
              <w:rPr>
                <w:b/>
                <w:bCs/>
                <w:color w:val="000000"/>
                <w:sz w:val="22"/>
                <w:szCs w:val="22"/>
              </w:rPr>
              <w:t>аукционах</w:t>
            </w:r>
            <w:r w:rsidRPr="00954D46">
              <w:rPr>
                <w:color w:val="000000"/>
                <w:sz w:val="22"/>
                <w:szCs w:val="22"/>
              </w:rPr>
              <w:t xml:space="preserve"> в электронной форме</w:t>
            </w:r>
            <w:r w:rsidRPr="00954D46">
              <w:rPr>
                <w:b/>
                <w:bCs/>
                <w:color w:val="000000"/>
                <w:sz w:val="22"/>
                <w:szCs w:val="22"/>
              </w:rPr>
              <w:t>»</w:t>
            </w:r>
            <w:r w:rsidRPr="00954D46">
              <w:rPr>
                <w:color w:val="000000"/>
                <w:sz w:val="22"/>
                <w:szCs w:val="22"/>
              </w:rPr>
              <w:t xml:space="preserve"> указывается фактическое количество и объем закупок у СМП и СОНКО по результатам открытых конкурсов в электронной форме, открытых аукционов в электронной форме выделенные из столбца 2; </w:t>
            </w:r>
          </w:p>
        </w:tc>
      </w:tr>
      <w:tr w:rsidR="00954D46" w:rsidRPr="00954D46" w:rsidTr="00BF679E">
        <w:trPr>
          <w:trHeight w:val="615"/>
        </w:trPr>
        <w:tc>
          <w:tcPr>
            <w:tcW w:w="5000" w:type="pct"/>
            <w:shd w:val="clear" w:color="auto" w:fill="auto"/>
            <w:vAlign w:val="center"/>
            <w:hideMark/>
          </w:tcPr>
          <w:p w:rsidR="00954D46" w:rsidRPr="00954D46" w:rsidRDefault="00954D46" w:rsidP="00954D46">
            <w:pPr>
              <w:jc w:val="both"/>
              <w:rPr>
                <w:color w:val="000000"/>
                <w:sz w:val="22"/>
                <w:szCs w:val="22"/>
              </w:rPr>
            </w:pPr>
            <w:r w:rsidRPr="00954D46">
              <w:rPr>
                <w:color w:val="000000"/>
                <w:sz w:val="22"/>
                <w:szCs w:val="22"/>
              </w:rPr>
              <w:t>г) по столбцу 4 «Социально ориентированные некоммерческие организации, зарегистрированные на территории ДФО» указывается фактическое количество и объем закупок с социально ориентированными некоммерческими организациями, зарегистрированными на территории ДФО выделенные из столбца 2 с указанием наименования.</w:t>
            </w:r>
          </w:p>
        </w:tc>
      </w:tr>
    </w:tbl>
    <w:p w:rsidR="00954D46" w:rsidRDefault="00954D46">
      <w:bookmarkStart w:id="0" w:name="_GoBack"/>
      <w:bookmarkEnd w:id="0"/>
    </w:p>
    <w:sectPr w:rsidR="00954D46" w:rsidSect="00BF679E">
      <w:pgSz w:w="16838" w:h="11906" w:orient="landscape"/>
      <w:pgMar w:top="1701" w:right="56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12"/>
    <w:rsid w:val="000053FC"/>
    <w:rsid w:val="00312BDE"/>
    <w:rsid w:val="00642012"/>
    <w:rsid w:val="006E7183"/>
    <w:rsid w:val="008264FE"/>
    <w:rsid w:val="009478EB"/>
    <w:rsid w:val="00950BCB"/>
    <w:rsid w:val="00954D46"/>
    <w:rsid w:val="00A745BC"/>
    <w:rsid w:val="00BF679E"/>
    <w:rsid w:val="00D765DA"/>
    <w:rsid w:val="00FA0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7BB4"/>
  <w15:chartTrackingRefBased/>
  <w15:docId w15:val="{5ED320BB-4756-41C1-881D-4ED3CB72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2024-01-17T00:06:00Z</dcterms:created>
  <dcterms:modified xsi:type="dcterms:W3CDTF">2024-01-17T00:19:00Z</dcterms:modified>
</cp:coreProperties>
</file>