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жилищном строитель</w:t>
      </w:r>
      <w:r w:rsidR="00D2796B">
        <w:rPr>
          <w:rFonts w:ascii="Times New Roman" w:eastAsia="Times New Roman" w:hAnsi="Times New Roman" w:cs="Times New Roman"/>
          <w:sz w:val="28"/>
          <w:szCs w:val="28"/>
        </w:rPr>
        <w:t>стве в г. Белогорск (2021 –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годы)</w:t>
      </w:r>
    </w:p>
    <w:p w:rsid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Генеральным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г. Белогорск не предполагается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значительное увеличение селитебных территорий за счет освоения новых земель.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Размещение нового жилищного строительства в городе планируется как на имеющихся в небольшом количестве свободных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(точечная застройка)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, так и на освобождающихся территориях и на месте сноса ветхой и малоценной застройки. 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к застройке жилыми домами повышенной этажности территории</w:t>
      </w:r>
      <w:r w:rsidR="009D2747">
        <w:rPr>
          <w:rFonts w:ascii="Times New Roman" w:eastAsia="Times New Roman" w:hAnsi="Times New Roman" w:cs="Times New Roman"/>
          <w:sz w:val="28"/>
          <w:szCs w:val="28"/>
        </w:rPr>
        <w:t xml:space="preserve"> (Центральный микрорайон, Транспортный, Южный)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</w:t>
      </w:r>
      <w:r w:rsidR="009D2747">
        <w:rPr>
          <w:rFonts w:ascii="Times New Roman" w:eastAsia="Times New Roman" w:hAnsi="Times New Roman" w:cs="Times New Roman"/>
          <w:sz w:val="28"/>
          <w:szCs w:val="28"/>
        </w:rPr>
        <w:t>застроить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2030 года </w:t>
      </w:r>
      <w:r w:rsidR="009D27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D2747" w:rsidRPr="00B31C5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в два этапа, первый этап в период с 2021 по 2025 год, второй этап – с 2025 по 2030 год.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1C5D" w:rsidRPr="00D2796B" w:rsidRDefault="00B31C5D" w:rsidP="00D279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Первый </w:t>
      </w:r>
      <w:r w:rsidR="003321AD"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этап (</w:t>
      </w: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период реализации 2021 - 2025 г.)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081"/>
        <w:gridCol w:w="996"/>
        <w:gridCol w:w="994"/>
        <w:gridCol w:w="993"/>
        <w:gridCol w:w="992"/>
        <w:gridCol w:w="1132"/>
        <w:gridCol w:w="1701"/>
      </w:tblGrid>
      <w:tr w:rsidR="00B31C5D" w:rsidRPr="00B31C5D" w:rsidTr="00B31C5D">
        <w:trPr>
          <w:trHeight w:val="822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№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Местоположение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кадастровый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номер ЗУ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ЗУ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га.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Общая площадь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МКД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993" w:type="dxa"/>
            <w:vMerge w:val="restart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Этаж-</w:t>
            </w:r>
            <w:proofErr w:type="spellStart"/>
            <w:r w:rsidRPr="00B31C5D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кол-во квартир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Период строительства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2747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Стадии</w:t>
            </w:r>
          </w:p>
        </w:tc>
      </w:tr>
      <w:tr w:rsidR="00B31C5D" w:rsidRPr="00B31C5D" w:rsidTr="00B31C5D">
        <w:trPr>
          <w:trHeight w:val="434"/>
        </w:trPr>
        <w:tc>
          <w:tcPr>
            <w:tcW w:w="462" w:type="dxa"/>
            <w:vMerge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vMerge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31C5D" w:rsidRPr="00B31C5D" w:rsidTr="00B31C5D">
        <w:trPr>
          <w:trHeight w:val="658"/>
        </w:trPr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Скорикова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28:02:000147:440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3 668,0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6 145,5</w:t>
            </w:r>
          </w:p>
        </w:tc>
        <w:tc>
          <w:tcPr>
            <w:tcW w:w="993" w:type="dxa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B31C5D" w:rsidRPr="00B31C5D">
              <w:rPr>
                <w:rFonts w:ascii="Times New Roman" w:eastAsia="Times New Roman" w:hAnsi="Times New Roman" w:cs="Times New Roman"/>
              </w:rPr>
              <w:t>троительство</w:t>
            </w:r>
          </w:p>
        </w:tc>
      </w:tr>
      <w:tr w:rsidR="00B31C5D" w:rsidRPr="00B31C5D" w:rsidTr="00B31C5D"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Кирова, 193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28:02:000127:19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5 136,0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8 599,9</w:t>
            </w:r>
          </w:p>
        </w:tc>
        <w:tc>
          <w:tcPr>
            <w:tcW w:w="993" w:type="dxa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9/105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D2796B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B31C5D" w:rsidRPr="00B31C5D">
              <w:rPr>
                <w:rFonts w:ascii="Times New Roman" w:eastAsia="Times New Roman" w:hAnsi="Times New Roman" w:cs="Times New Roman"/>
              </w:rPr>
              <w:t>троительство</w:t>
            </w:r>
          </w:p>
        </w:tc>
      </w:tr>
      <w:tr w:rsidR="00B31C5D" w:rsidRPr="00B31C5D" w:rsidTr="00B31C5D"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Кирова, 86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28:02:000121:17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2 245,0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2 800,0</w:t>
            </w:r>
          </w:p>
        </w:tc>
        <w:tc>
          <w:tcPr>
            <w:tcW w:w="993" w:type="dxa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10/45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Подготовка</w:t>
            </w:r>
          </w:p>
          <w:p w:rsidR="00B31C5D" w:rsidRPr="00B31C5D" w:rsidRDefault="00B31C5D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ПСД</w:t>
            </w:r>
            <w:r w:rsidR="003321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1C5D" w:rsidRPr="00B31C5D" w:rsidTr="00B31C5D"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Ленина, 83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28:02:000123:129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2 973,0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3 718.8</w:t>
            </w:r>
          </w:p>
        </w:tc>
        <w:tc>
          <w:tcPr>
            <w:tcW w:w="993" w:type="dxa"/>
            <w:vAlign w:val="center"/>
          </w:tcPr>
          <w:p w:rsidR="00B31C5D" w:rsidRPr="00B31C5D" w:rsidRDefault="00B31C5D" w:rsidP="002357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9/</w:t>
            </w:r>
            <w:r w:rsidR="0023572F">
              <w:rPr>
                <w:rFonts w:ascii="Times New Roman" w:eastAsia="Times New Roman" w:hAnsi="Times New Roman" w:cs="Times New Roman"/>
              </w:rPr>
              <w:t>63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AD" w:rsidRPr="00B31C5D" w:rsidRDefault="003321AD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Подготовка</w:t>
            </w:r>
          </w:p>
          <w:p w:rsidR="00B31C5D" w:rsidRPr="00B31C5D" w:rsidRDefault="003321AD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ПСД</w:t>
            </w:r>
          </w:p>
        </w:tc>
      </w:tr>
      <w:tr w:rsidR="00B31C5D" w:rsidRPr="00B31C5D" w:rsidTr="00B31C5D">
        <w:trPr>
          <w:trHeight w:val="508"/>
        </w:trPr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Ленина, 62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28:02:000147:44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1 983,0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9D2747">
              <w:rPr>
                <w:rFonts w:ascii="Times New Roman" w:eastAsia="Times New Roman" w:hAnsi="Times New Roman" w:cs="Times New Roman"/>
                <w:color w:val="E7E6E6" w:themeColor="background2"/>
              </w:rPr>
              <w:t>3 221,6</w:t>
            </w:r>
          </w:p>
        </w:tc>
        <w:tc>
          <w:tcPr>
            <w:tcW w:w="993" w:type="dxa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9D2747">
              <w:rPr>
                <w:rFonts w:ascii="Times New Roman" w:eastAsia="Times New Roman" w:hAnsi="Times New Roman" w:cs="Times New Roman"/>
                <w:color w:val="E7E6E6" w:themeColor="background2"/>
              </w:rPr>
              <w:t>5/65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1C5D" w:rsidRPr="00B31C5D" w:rsidRDefault="009D2747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Принятие решение</w:t>
            </w:r>
          </w:p>
        </w:tc>
      </w:tr>
      <w:tr w:rsidR="00B31C5D" w:rsidRPr="00B31C5D" w:rsidTr="00B31C5D">
        <w:trPr>
          <w:trHeight w:val="351"/>
        </w:trPr>
        <w:tc>
          <w:tcPr>
            <w:tcW w:w="46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Ул. Кирова, 195</w:t>
            </w:r>
          </w:p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28:02:000127:34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3 463,3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4779.0</w:t>
            </w:r>
          </w:p>
        </w:tc>
        <w:tc>
          <w:tcPr>
            <w:tcW w:w="993" w:type="dxa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</w:t>
            </w:r>
            <w:r w:rsidR="00B31C5D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31C5D" w:rsidRPr="00B31C5D" w:rsidRDefault="00D2796B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1AD" w:rsidRPr="00B31C5D" w:rsidRDefault="003321AD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Подготовка</w:t>
            </w:r>
          </w:p>
          <w:p w:rsidR="00B31C5D" w:rsidRPr="00B31C5D" w:rsidRDefault="003321AD" w:rsidP="00332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ПСД</w:t>
            </w:r>
          </w:p>
        </w:tc>
      </w:tr>
      <w:tr w:rsidR="00B31C5D" w:rsidRPr="00B31C5D" w:rsidTr="00B31C5D">
        <w:trPr>
          <w:trHeight w:val="351"/>
        </w:trPr>
        <w:tc>
          <w:tcPr>
            <w:tcW w:w="3539" w:type="dxa"/>
            <w:gridSpan w:val="3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26043.0</w:t>
            </w:r>
          </w:p>
        </w:tc>
        <w:tc>
          <w:tcPr>
            <w:tcW w:w="993" w:type="dxa"/>
            <w:vAlign w:val="center"/>
          </w:tcPr>
          <w:p w:rsidR="00B31C5D" w:rsidRPr="00B31C5D" w:rsidRDefault="009D2747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1C5D" w:rsidRPr="00B31C5D" w:rsidRDefault="00B31C5D" w:rsidP="003321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31C5D" w:rsidRPr="00B31C5D" w:rsidRDefault="003321A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первому этапу строительства МКД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все земельные участки расположены в Центральном планировочном районе. Участки свободны от застройки и расположены в районах, обеспеченных инженерной, улично-дорожной сетью и транспортной инфраструктурой. </w:t>
      </w:r>
    </w:p>
    <w:p w:rsidR="00B31C5D" w:rsidRPr="00B31C5D" w:rsidRDefault="003321A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 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1C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МКД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в 2020 году. В настоящее время на участках 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строительно-монтажные работы. Предварительный срок окончания строительства – </w:t>
      </w:r>
      <w:r w:rsidR="00D2796B">
        <w:rPr>
          <w:rFonts w:ascii="Times New Roman" w:eastAsia="Times New Roman" w:hAnsi="Times New Roman" w:cs="Times New Roman"/>
          <w:sz w:val="28"/>
          <w:szCs w:val="28"/>
        </w:rPr>
        <w:t xml:space="preserve">2022-2023 годы. 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>участк</w:t>
      </w:r>
      <w:r w:rsidR="003321AD" w:rsidRPr="00B31C5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4F">
        <w:rPr>
          <w:rFonts w:ascii="Times New Roman" w:eastAsia="Times New Roman" w:hAnsi="Times New Roman" w:cs="Times New Roman"/>
          <w:sz w:val="28"/>
          <w:szCs w:val="28"/>
        </w:rPr>
        <w:t>3, 4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 xml:space="preserve"> и 6 начнут строительство в 2022 году. Предварительный срок оконч</w:t>
      </w:r>
      <w:r w:rsidR="00D2796B">
        <w:rPr>
          <w:rFonts w:ascii="Times New Roman" w:eastAsia="Times New Roman" w:hAnsi="Times New Roman" w:cs="Times New Roman"/>
          <w:sz w:val="28"/>
          <w:szCs w:val="28"/>
        </w:rPr>
        <w:t>ания строительства – 2023 – 2025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B31C5D" w:rsidRPr="00B31C5D" w:rsidRDefault="00B31C5D" w:rsidP="00B31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796B" w:rsidRDefault="00D2796B" w:rsidP="0033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6B" w:rsidRDefault="00D2796B" w:rsidP="0033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6B" w:rsidRDefault="00D2796B" w:rsidP="0033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1AD" w:rsidRPr="00D2796B" w:rsidRDefault="00B31C5D" w:rsidP="00332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этап (период реализации с 2025 - 2030 г.)</w:t>
      </w:r>
    </w:p>
    <w:p w:rsidR="00B31C5D" w:rsidRPr="00B31C5D" w:rsidRDefault="003321AD" w:rsidP="00D2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Вторым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тапом 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освоение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и застройка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территорий в планировочных районах «Южный» и «Транспортный».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подготовлены и утверждены проекты планировок и межевания. Срок начала освоения территорий и строительства МКД предполагается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2796B">
        <w:rPr>
          <w:rFonts w:ascii="Times New Roman" w:eastAsia="Times New Roman" w:hAnsi="Times New Roman" w:cs="Times New Roman"/>
          <w:sz w:val="28"/>
          <w:szCs w:val="28"/>
        </w:rPr>
        <w:t xml:space="preserve"> 2030 год и </w:t>
      </w:r>
      <w:r w:rsidR="00B31C5D" w:rsidRPr="00B31C5D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необходимостью ввода дополнительных мощностей централизованной системы теплоснабжения – реконструкция котельной «Южная», и строительством новой котельной в районе квартала 77, с целью обеспечения существующего жилого фонда и нового строительства объектов жилья теплом. </w:t>
      </w:r>
    </w:p>
    <w:p w:rsidR="00B31C5D" w:rsidRPr="00B31C5D" w:rsidRDefault="00B31C5D" w:rsidP="003321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1C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Планировочный район «Южный» 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В планировочном районе «Южный», на территории квартала 446, расположенном в восточной части города, планируется многоэтажная и среднеэтажная жилая застройка. В квартале сохраняется существующая 5-3 этажная застройка. 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540"/>
        <w:gridCol w:w="1980"/>
        <w:gridCol w:w="1260"/>
        <w:gridCol w:w="1620"/>
        <w:gridCol w:w="1260"/>
        <w:gridCol w:w="1260"/>
      </w:tblGrid>
      <w:tr w:rsidR="00B31C5D" w:rsidRPr="00B31C5D" w:rsidTr="00951069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№</w:t>
            </w:r>
          </w:p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C5D">
              <w:rPr>
                <w:rFonts w:ascii="Times New Roman" w:eastAsia="Times New Roman" w:hAnsi="Times New Roman" w:cs="Times New Roman"/>
              </w:rPr>
              <w:t>Кад</w:t>
            </w:r>
            <w:proofErr w:type="spellEnd"/>
            <w:r w:rsidRPr="00B31C5D">
              <w:rPr>
                <w:rFonts w:ascii="Times New Roman" w:eastAsia="Times New Roman" w:hAnsi="Times New Roman" w:cs="Times New Roman"/>
              </w:rPr>
              <w:t>. номер 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ЗУ,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Общая площадь МКД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Кол-во квартир</w:t>
            </w:r>
          </w:p>
        </w:tc>
      </w:tr>
      <w:tr w:rsidR="00B31C5D" w:rsidRPr="00B31C5D" w:rsidTr="00951069">
        <w:trPr>
          <w:trHeight w:val="225"/>
        </w:trPr>
        <w:tc>
          <w:tcPr>
            <w:tcW w:w="1620" w:type="dxa"/>
            <w:vMerge w:val="restart"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Планировочный район «Южный»,</w:t>
            </w:r>
          </w:p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Ул. 50 лет Комсомола -Тимирязева</w:t>
            </w:r>
          </w:p>
        </w:tc>
        <w:tc>
          <w:tcPr>
            <w:tcW w:w="54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28:02:000446:419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6671,0</w:t>
            </w:r>
          </w:p>
        </w:tc>
        <w:tc>
          <w:tcPr>
            <w:tcW w:w="162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4090,0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1C5D" w:rsidRPr="00B31C5D" w:rsidTr="00951069">
        <w:trPr>
          <w:trHeight w:val="135"/>
        </w:trPr>
        <w:tc>
          <w:tcPr>
            <w:tcW w:w="1620" w:type="dxa"/>
            <w:vMerge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28:02:000446:418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5954,0</w:t>
            </w:r>
          </w:p>
        </w:tc>
        <w:tc>
          <w:tcPr>
            <w:tcW w:w="162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4090,0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1C5D" w:rsidRPr="00B31C5D" w:rsidTr="00951069">
        <w:trPr>
          <w:trHeight w:val="232"/>
        </w:trPr>
        <w:tc>
          <w:tcPr>
            <w:tcW w:w="1620" w:type="dxa"/>
            <w:vMerge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6370,0</w:t>
            </w:r>
          </w:p>
        </w:tc>
        <w:tc>
          <w:tcPr>
            <w:tcW w:w="162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4865,0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31C5D" w:rsidRPr="00B31C5D" w:rsidTr="00951069">
        <w:trPr>
          <w:trHeight w:val="128"/>
        </w:trPr>
        <w:tc>
          <w:tcPr>
            <w:tcW w:w="1620" w:type="dxa"/>
            <w:vMerge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28:02:000446:411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4738,0</w:t>
            </w:r>
          </w:p>
        </w:tc>
        <w:tc>
          <w:tcPr>
            <w:tcW w:w="162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1227,0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31C5D" w:rsidRPr="00B31C5D" w:rsidTr="00951069">
        <w:trPr>
          <w:trHeight w:val="172"/>
        </w:trPr>
        <w:tc>
          <w:tcPr>
            <w:tcW w:w="1620" w:type="dxa"/>
            <w:vMerge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28:02:000446:413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6431,0</w:t>
            </w:r>
          </w:p>
        </w:tc>
        <w:tc>
          <w:tcPr>
            <w:tcW w:w="162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5340,0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B31C5D" w:rsidRPr="00B31C5D" w:rsidTr="00951069">
        <w:trPr>
          <w:trHeight w:val="135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28:02:000446:417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7688,0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8425,0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B31C5D" w:rsidRPr="00B31C5D" w:rsidTr="00951069">
        <w:trPr>
          <w:trHeight w:val="135"/>
        </w:trPr>
        <w:tc>
          <w:tcPr>
            <w:tcW w:w="1620" w:type="dxa"/>
            <w:tcBorders>
              <w:bottom w:val="single" w:sz="4" w:space="0" w:color="auto"/>
            </w:tcBorders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28037,0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630</w:t>
            </w:r>
          </w:p>
        </w:tc>
      </w:tr>
      <w:tr w:rsidR="00B31C5D" w:rsidRPr="00B31C5D" w:rsidTr="00951069">
        <w:trPr>
          <w:gridAfter w:val="2"/>
          <w:wAfter w:w="2520" w:type="dxa"/>
          <w:trHeight w:val="176"/>
        </w:trPr>
        <w:tc>
          <w:tcPr>
            <w:tcW w:w="70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31C5D" w:rsidRPr="00B31C5D" w:rsidRDefault="00B31C5D" w:rsidP="00D2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На свободной территории квартала сформированы и отмежеваны шесть земельных участков.  </w:t>
      </w:r>
    </w:p>
    <w:p w:rsidR="00B31C5D" w:rsidRPr="00D2796B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Социальная инфраструктура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На территории квартала проектом планировки предусмотрено строительство общегородского объекта - «Крытый каток» и объект детского дошкольного учреждения – детсад на 170 мест. Школьные места обеспечиваются существующей школой, расположенной в 1500 м по пешеходным путям. Объекты повседневного обслуживания имеются в рассматриваемом квартале. Объекты общегородского значения размещены в системе города, что соответствует «Нормам градостроительного проектирования Амурской области».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Планируемая под застройку территория имеет связь с другими частями города, примыкающими к кварталу улицами Дорожная (магистраль общегородского значения) и ул. 50 лет Комсомола (магистраль городского значения) посредством общественного транспорта. Для развития квартала необходимо осуществить строительство участка ул. Тимирязева и дорогу между промышленной зоной и жилой застройкой планировочного района «Южный». Территория квартала частично обеспечена объектами транспортной инфраструктуры.</w:t>
      </w:r>
    </w:p>
    <w:p w:rsidR="00B31C5D" w:rsidRPr="00B31C5D" w:rsidRDefault="00B31C5D" w:rsidP="00B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D2796B" w:rsidRDefault="00B31C5D" w:rsidP="00B31C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Инженерная инфраструктура</w:t>
      </w:r>
    </w:p>
    <w:p w:rsidR="00B31C5D" w:rsidRPr="00B31C5D" w:rsidRDefault="00B31C5D" w:rsidP="00332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Источник водоснабжения и водоотведения – существующие сети городского водопровода. Проектом предусмотрена закольцовка квартала водопроводом.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>Требуемый расход воды 310.0 м3/</w:t>
      </w:r>
      <w:proofErr w:type="spellStart"/>
      <w:r w:rsidRPr="00B31C5D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. Водоотведение – в существующие сети по ул. Дорожная. 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Сетями энергоснабжения 10 </w:t>
      </w:r>
      <w:proofErr w:type="spellStart"/>
      <w:r w:rsidRPr="00B31C5D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территория квартала обеспечена. Предполагается осуществить строительство двух новых ТП и внутриквартальных кабельных линий электропередач. Необходимый объем энергопотребления 1985,4 кВт/ч.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Источником теплоснабжения застраиваемой территории квартала 446 является существующая котельная, при условии ее реконструкции с установкой дополнительных мощностей. Необходимая тепловая нагрузка для нового строительства - 3.5 Гкал/час.</w:t>
      </w:r>
    </w:p>
    <w:p w:rsidR="00B31C5D" w:rsidRPr="00B31C5D" w:rsidRDefault="00B31C5D" w:rsidP="00B3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B31C5D" w:rsidRDefault="00B31C5D" w:rsidP="00B31C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1C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Планировочный район «Транспортный»  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16"/>
          <w:szCs w:val="16"/>
        </w:rPr>
        <w:tab/>
      </w:r>
      <w:r w:rsidRPr="00B31C5D">
        <w:rPr>
          <w:rFonts w:ascii="Times New Roman" w:eastAsia="Times New Roman" w:hAnsi="Times New Roman" w:cs="Times New Roman"/>
          <w:sz w:val="28"/>
          <w:szCs w:val="28"/>
        </w:rPr>
        <w:t>На указанную территорию, в границах квартала 77 подготовлен и утвержден проект планировки и межевания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>. В 2022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году территорию планируемой застройки предполагается размежевать и постановить на учет в Росреестр. Территория освобождается от существующих ветхих складских строений. </w:t>
      </w:r>
    </w:p>
    <w:p w:rsidR="00B31C5D" w:rsidRPr="00B31C5D" w:rsidRDefault="00B31C5D" w:rsidP="00B31C5D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110"/>
        <w:gridCol w:w="1185"/>
        <w:gridCol w:w="1800"/>
        <w:gridCol w:w="1800"/>
        <w:gridCol w:w="1800"/>
        <w:gridCol w:w="236"/>
      </w:tblGrid>
      <w:tr w:rsidR="00B31C5D" w:rsidRPr="00B31C5D" w:rsidTr="00951069">
        <w:trPr>
          <w:gridAfter w:val="1"/>
          <w:wAfter w:w="236" w:type="dxa"/>
          <w:trHeight w:val="244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C5D">
              <w:rPr>
                <w:rFonts w:ascii="Times New Roman" w:eastAsia="Times New Roman" w:hAnsi="Times New Roman" w:cs="Times New Roman"/>
              </w:rPr>
              <w:t>Месторасполо-жение</w:t>
            </w:r>
            <w:proofErr w:type="spellEnd"/>
            <w:r w:rsidRPr="00B31C5D">
              <w:rPr>
                <w:rFonts w:ascii="Times New Roman" w:eastAsia="Times New Roman" w:hAnsi="Times New Roman" w:cs="Times New Roman"/>
              </w:rPr>
              <w:t xml:space="preserve"> ЗУ, кадастровый квартал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 xml:space="preserve">Номер 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МКД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по проекту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ЗУ,</w:t>
            </w:r>
          </w:p>
          <w:p w:rsidR="00B31C5D" w:rsidRPr="00B31C5D" w:rsidRDefault="00B31C5D" w:rsidP="00B31C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га.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Общая площадь МКД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 xml:space="preserve">Жилая 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площадь МКД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Этаж</w:t>
            </w:r>
          </w:p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Кол-во квартир</w:t>
            </w:r>
          </w:p>
        </w:tc>
      </w:tr>
      <w:tr w:rsidR="00B31C5D" w:rsidRPr="00B31C5D" w:rsidTr="00951069">
        <w:trPr>
          <w:gridAfter w:val="1"/>
          <w:wAfter w:w="236" w:type="dxa"/>
          <w:trHeight w:val="227"/>
        </w:trPr>
        <w:tc>
          <w:tcPr>
            <w:tcW w:w="1665" w:type="dxa"/>
            <w:vMerge w:val="restart"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Транспортный,</w:t>
            </w:r>
          </w:p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Серышева, </w:t>
            </w:r>
          </w:p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C5D">
              <w:rPr>
                <w:rFonts w:ascii="Times New Roman" w:eastAsia="Times New Roman" w:hAnsi="Times New Roman" w:cs="Times New Roman"/>
                <w:sz w:val="20"/>
                <w:szCs w:val="20"/>
              </w:rPr>
              <w:t>КК № 77,</w:t>
            </w:r>
          </w:p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0,73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4698,00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3758,40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5/60</w:t>
            </w:r>
          </w:p>
        </w:tc>
      </w:tr>
      <w:tr w:rsidR="00B31C5D" w:rsidRPr="00B31C5D" w:rsidTr="00951069">
        <w:trPr>
          <w:gridAfter w:val="1"/>
          <w:wAfter w:w="236" w:type="dxa"/>
          <w:trHeight w:val="253"/>
        </w:trPr>
        <w:tc>
          <w:tcPr>
            <w:tcW w:w="1665" w:type="dxa"/>
            <w:vMerge/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6318,00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5055,08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5/100</w:t>
            </w:r>
          </w:p>
        </w:tc>
      </w:tr>
      <w:tr w:rsidR="00B31C5D" w:rsidRPr="00B31C5D" w:rsidTr="00951069">
        <w:trPr>
          <w:gridAfter w:val="1"/>
          <w:wAfter w:w="236" w:type="dxa"/>
          <w:trHeight w:val="279"/>
        </w:trPr>
        <w:tc>
          <w:tcPr>
            <w:tcW w:w="1665" w:type="dxa"/>
            <w:vMerge/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0,59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4698,00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3758,40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5/60</w:t>
            </w:r>
          </w:p>
        </w:tc>
      </w:tr>
      <w:tr w:rsidR="00B31C5D" w:rsidRPr="00B31C5D" w:rsidTr="00951069">
        <w:trPr>
          <w:gridAfter w:val="1"/>
          <w:wAfter w:w="236" w:type="dxa"/>
          <w:trHeight w:val="322"/>
        </w:trPr>
        <w:tc>
          <w:tcPr>
            <w:tcW w:w="1665" w:type="dxa"/>
            <w:vMerge/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4698,00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3758,40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5/60</w:t>
            </w:r>
          </w:p>
        </w:tc>
      </w:tr>
      <w:tr w:rsidR="00B31C5D" w:rsidRPr="00B31C5D" w:rsidTr="00951069">
        <w:trPr>
          <w:gridAfter w:val="1"/>
          <w:wAfter w:w="236" w:type="dxa"/>
          <w:trHeight w:val="348"/>
        </w:trPr>
        <w:tc>
          <w:tcPr>
            <w:tcW w:w="1665" w:type="dxa"/>
            <w:vMerge/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4698,00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3758,40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5/60</w:t>
            </w:r>
          </w:p>
        </w:tc>
      </w:tr>
      <w:tr w:rsidR="00B31C5D" w:rsidRPr="00B31C5D" w:rsidTr="00951069">
        <w:trPr>
          <w:gridAfter w:val="1"/>
          <w:wAfter w:w="236" w:type="dxa"/>
          <w:trHeight w:val="308"/>
        </w:trPr>
        <w:tc>
          <w:tcPr>
            <w:tcW w:w="1665" w:type="dxa"/>
            <w:vMerge/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185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6318,00</w:t>
            </w:r>
          </w:p>
        </w:tc>
        <w:tc>
          <w:tcPr>
            <w:tcW w:w="1800" w:type="dxa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5055,08</w:t>
            </w:r>
          </w:p>
        </w:tc>
        <w:tc>
          <w:tcPr>
            <w:tcW w:w="1800" w:type="dxa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5/100</w:t>
            </w:r>
          </w:p>
        </w:tc>
      </w:tr>
      <w:tr w:rsidR="00B31C5D" w:rsidRPr="00B31C5D" w:rsidTr="00951069">
        <w:trPr>
          <w:gridAfter w:val="1"/>
          <w:wAfter w:w="236" w:type="dxa"/>
          <w:trHeight w:val="209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B31C5D" w:rsidRPr="00B31C5D" w:rsidRDefault="00B31C5D" w:rsidP="00B31C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0,37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4698,00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3758,40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5/60</w:t>
            </w:r>
          </w:p>
        </w:tc>
      </w:tr>
      <w:tr w:rsidR="00B31C5D" w:rsidRPr="00B31C5D" w:rsidTr="00951069">
        <w:trPr>
          <w:trHeight w:val="209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 xml:space="preserve">                                                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36126,00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28902,00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5D" w:rsidRPr="00B31C5D" w:rsidRDefault="00B31C5D" w:rsidP="00B31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C5D">
              <w:rPr>
                <w:rFonts w:ascii="Times New Roman" w:eastAsia="Times New Roman" w:hAnsi="Times New Roman" w:cs="Times New Roman"/>
              </w:rPr>
              <w:t>5/ 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C5D" w:rsidRPr="00B31C5D" w:rsidRDefault="00B31C5D" w:rsidP="00B31C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1C5D" w:rsidRPr="00B31C5D" w:rsidRDefault="00B31C5D" w:rsidP="00B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Проектом планировки, в границах планировочного элемента на территории кадастрового квартала 77, планируется среднеэтажная застройка жилыми домами 5 этажей. </w:t>
      </w:r>
    </w:p>
    <w:p w:rsidR="00B31C5D" w:rsidRPr="00B31C5D" w:rsidRDefault="00B31C5D" w:rsidP="00B31C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D2796B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Социальная инфраструктура</w:t>
      </w:r>
    </w:p>
    <w:p w:rsidR="00B31C5D" w:rsidRPr="00B31C5D" w:rsidRDefault="00B31C5D" w:rsidP="00332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На планируемой под застройку территории отсутствуют объекты социального и культурно-бытового назначения. Согласно </w:t>
      </w:r>
      <w:r w:rsidR="003321AD" w:rsidRPr="00B31C5D">
        <w:rPr>
          <w:rFonts w:ascii="Times New Roman" w:eastAsia="Times New Roman" w:hAnsi="Times New Roman" w:cs="Times New Roman"/>
          <w:sz w:val="28"/>
          <w:szCs w:val="28"/>
        </w:rPr>
        <w:t>расчету,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населения в указанных объектах компенсируется за счет существующих объектов на прилегающих территориях в пределах радиусов доступности. </w:t>
      </w:r>
      <w:r w:rsidR="003321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квартале предусмотрено строительство объекта – «Начальная школа – детский сад на 110 ученических и 130 дошкольных мест». Объекты общегородского значения размещены в системе города, что соответствует «Нормам градостроительного проектирования Амурской области».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Планируемая под застройку территория имеет связь с другими частями города, посредством общественного транспорта, примыкающими к кварталу улицами Серышева, Транспортная являющимися улицами местного значения.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Необходимо осуществить строительство основных и второстепенных проездов по территории, в планируемой к застройке части квартала. Территория квартала не обеспечена объектами транспортной инфраструктуры.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D2796B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796B">
        <w:rPr>
          <w:rFonts w:ascii="Times New Roman" w:eastAsia="Times New Roman" w:hAnsi="Times New Roman" w:cs="Times New Roman"/>
          <w:sz w:val="28"/>
          <w:szCs w:val="28"/>
          <w:u w:val="single"/>
        </w:rPr>
        <w:t>Инженерная инфраструктура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В районе квартала 77 присутствуют сети водоснабжения хозяйственно-питьевого назначения и сети бытовой канализации. Проектом планировки решается вопрос размещения сетей хозяйственно-питьевого водопровода и сетей самотечной бытовой канализации для обеспечения нового строительства в границах рассматриваемой территории. Согласно </w:t>
      </w:r>
      <w:r w:rsidR="00305495" w:rsidRPr="00B31C5D">
        <w:rPr>
          <w:rFonts w:ascii="Times New Roman" w:eastAsia="Times New Roman" w:hAnsi="Times New Roman" w:cs="Times New Roman"/>
          <w:sz w:val="28"/>
          <w:szCs w:val="28"/>
        </w:rPr>
        <w:t>расчету водопотребления,</w:t>
      </w: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общий расход воды составляет – 338.7 м3/</w:t>
      </w:r>
      <w:proofErr w:type="spellStart"/>
      <w:r w:rsidRPr="00B31C5D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1C5D">
        <w:rPr>
          <w:rFonts w:ascii="Times New Roman" w:eastAsia="Times New Roman" w:hAnsi="Times New Roman" w:cs="Times New Roman"/>
          <w:sz w:val="28"/>
          <w:szCs w:val="28"/>
        </w:rPr>
        <w:t>. Водоотведение в существующие сети.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Сетями энергоснабжения 10 </w:t>
      </w:r>
      <w:proofErr w:type="spellStart"/>
      <w:r w:rsidRPr="00B31C5D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территория квартала обеспечена. Предполагается осуществить строительство двух новых ТП и внутриквартальных кабельных линий электропередач. Необходимый объем энергопотребления 3666,0 кВт/ч.</w:t>
      </w:r>
    </w:p>
    <w:p w:rsid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По периметру кадастрового квартала 77 расположены магистральные сети централизованного теплоснабжения. На отопление планируемых к застройке семи МКД необходимо дополнительно 4,0 Гкал/час.</w:t>
      </w:r>
    </w:p>
    <w:p w:rsidR="00D2796B" w:rsidRPr="00B31C5D" w:rsidRDefault="00D2796B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Проблемой освоения рассматриваемых территорий планировочного района «Южный» и «Транспортный» является отсутствие свободных мощностей теплоснабжения. Для снабжения планируемых к застройке объектов теплом МДК необходимо дополнительно 7,5 Гкал/час.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C5D">
        <w:rPr>
          <w:rFonts w:ascii="Times New Roman" w:eastAsia="Times New Roman" w:hAnsi="Times New Roman" w:cs="Times New Roman"/>
          <w:sz w:val="28"/>
          <w:szCs w:val="28"/>
        </w:rPr>
        <w:t>В случае успешной реализации Плана к 2030 году предполагается осуществить строительство и ввести в эксплуатацию:</w:t>
      </w:r>
    </w:p>
    <w:p w:rsidR="00B31C5D" w:rsidRPr="00B31C5D" w:rsidRDefault="00B31C5D" w:rsidP="00B3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3781"/>
        <w:gridCol w:w="2735"/>
        <w:gridCol w:w="2977"/>
      </w:tblGrid>
      <w:tr w:rsidR="00D2796B" w:rsidRPr="00B31C5D" w:rsidTr="00D2796B">
        <w:trPr>
          <w:trHeight w:val="735"/>
        </w:trPr>
        <w:tc>
          <w:tcPr>
            <w:tcW w:w="3781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№ этапа по годам</w:t>
            </w:r>
          </w:p>
        </w:tc>
        <w:tc>
          <w:tcPr>
            <w:tcW w:w="2735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Количество</w:t>
            </w:r>
          </w:p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977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 xml:space="preserve">Количество </w:t>
            </w:r>
          </w:p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квартир</w:t>
            </w:r>
          </w:p>
        </w:tc>
      </w:tr>
      <w:tr w:rsidR="00D2796B" w:rsidRPr="00B31C5D" w:rsidTr="00D2796B">
        <w:trPr>
          <w:trHeight w:val="297"/>
        </w:trPr>
        <w:tc>
          <w:tcPr>
            <w:tcW w:w="3781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Первый этап - 2021 – 2025 г</w:t>
            </w:r>
          </w:p>
        </w:tc>
        <w:tc>
          <w:tcPr>
            <w:tcW w:w="2735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</w:tr>
      <w:tr w:rsidR="00D2796B" w:rsidRPr="00B31C5D" w:rsidTr="00D2796B">
        <w:trPr>
          <w:trHeight w:val="335"/>
        </w:trPr>
        <w:tc>
          <w:tcPr>
            <w:tcW w:w="3781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Второй этап - 2025 – 2030 г.</w:t>
            </w:r>
          </w:p>
        </w:tc>
        <w:tc>
          <w:tcPr>
            <w:tcW w:w="2735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1130</w:t>
            </w:r>
          </w:p>
        </w:tc>
      </w:tr>
      <w:tr w:rsidR="00D2796B" w:rsidRPr="00B31C5D" w:rsidTr="00D2796B">
        <w:trPr>
          <w:trHeight w:val="344"/>
        </w:trPr>
        <w:tc>
          <w:tcPr>
            <w:tcW w:w="3781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ИТОГО: к 2030 году</w:t>
            </w:r>
          </w:p>
        </w:tc>
        <w:tc>
          <w:tcPr>
            <w:tcW w:w="2735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 w:rsidRPr="00B31C5D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D2796B" w:rsidRPr="00B31C5D" w:rsidRDefault="00D2796B" w:rsidP="00B3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1497</w:t>
            </w:r>
          </w:p>
        </w:tc>
      </w:tr>
    </w:tbl>
    <w:p w:rsidR="00121070" w:rsidRDefault="00121070"/>
    <w:sectPr w:rsidR="00121070" w:rsidSect="005051DC">
      <w:headerReference w:type="even" r:id="rId6"/>
      <w:headerReference w:type="default" r:id="rId7"/>
      <w:footerReference w:type="even" r:id="rId8"/>
      <w:pgSz w:w="11906" w:h="16838"/>
      <w:pgMar w:top="899" w:right="74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90" w:rsidRDefault="00261C90">
      <w:pPr>
        <w:spacing w:after="0" w:line="240" w:lineRule="auto"/>
      </w:pPr>
      <w:r>
        <w:separator/>
      </w:r>
    </w:p>
  </w:endnote>
  <w:endnote w:type="continuationSeparator" w:id="0">
    <w:p w:rsidR="00261C90" w:rsidRDefault="0026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D4" w:rsidRDefault="00305495" w:rsidP="00D95B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ED4" w:rsidRDefault="00261C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90" w:rsidRDefault="00261C90">
      <w:pPr>
        <w:spacing w:after="0" w:line="240" w:lineRule="auto"/>
      </w:pPr>
      <w:r>
        <w:separator/>
      </w:r>
    </w:p>
  </w:footnote>
  <w:footnote w:type="continuationSeparator" w:id="0">
    <w:p w:rsidR="00261C90" w:rsidRDefault="0026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C" w:rsidRDefault="00305495" w:rsidP="002F553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D3B" w:rsidRDefault="00261C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DC" w:rsidRDefault="00305495" w:rsidP="002F553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572F">
      <w:rPr>
        <w:rStyle w:val="a6"/>
        <w:noProof/>
      </w:rPr>
      <w:t>4</w:t>
    </w:r>
    <w:r>
      <w:rPr>
        <w:rStyle w:val="a6"/>
      </w:rPr>
      <w:fldChar w:fldCharType="end"/>
    </w:r>
  </w:p>
  <w:p w:rsidR="00C31D3B" w:rsidRPr="005051DC" w:rsidRDefault="00261C90" w:rsidP="005051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F5"/>
    <w:rsid w:val="00121070"/>
    <w:rsid w:val="0023572F"/>
    <w:rsid w:val="00261C90"/>
    <w:rsid w:val="002C0EA6"/>
    <w:rsid w:val="00305495"/>
    <w:rsid w:val="003321AD"/>
    <w:rsid w:val="0080594F"/>
    <w:rsid w:val="009D2747"/>
    <w:rsid w:val="00B13F74"/>
    <w:rsid w:val="00B303F5"/>
    <w:rsid w:val="00B31C5D"/>
    <w:rsid w:val="00D2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91E"/>
  <w15:chartTrackingRefBased/>
  <w15:docId w15:val="{16B1D321-4730-41C0-BB04-D685CFD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3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31C5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31C5D"/>
  </w:style>
  <w:style w:type="paragraph" w:styleId="a7">
    <w:name w:val="header"/>
    <w:basedOn w:val="a"/>
    <w:link w:val="a8"/>
    <w:rsid w:val="00B3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31C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2022-03-29T06:25:00Z</dcterms:created>
  <dcterms:modified xsi:type="dcterms:W3CDTF">2022-04-11T07:49:00Z</dcterms:modified>
</cp:coreProperties>
</file>