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B0" w:rsidRPr="00F06A37" w:rsidRDefault="007A61B0" w:rsidP="00C46B69">
      <w:pPr>
        <w:spacing w:after="0" w:line="240" w:lineRule="auto"/>
        <w:jc w:val="center"/>
        <w:rPr>
          <w:rFonts w:ascii="Times New Roman" w:hAnsi="Times New Roman"/>
          <w:b/>
          <w:sz w:val="26"/>
          <w:szCs w:val="26"/>
        </w:rPr>
      </w:pPr>
      <w:r w:rsidRPr="00F06A37">
        <w:rPr>
          <w:rFonts w:ascii="Times New Roman" w:hAnsi="Times New Roman"/>
          <w:b/>
          <w:sz w:val="26"/>
          <w:szCs w:val="26"/>
        </w:rPr>
        <w:t xml:space="preserve">Информация о проделанной работе Администрацией города Белогорск </w:t>
      </w:r>
    </w:p>
    <w:p w:rsidR="007A61B0" w:rsidRPr="00F06A37" w:rsidRDefault="007A61B0" w:rsidP="00C46B69">
      <w:pPr>
        <w:spacing w:after="0" w:line="240" w:lineRule="auto"/>
        <w:jc w:val="center"/>
        <w:rPr>
          <w:rFonts w:ascii="Times New Roman" w:hAnsi="Times New Roman"/>
          <w:b/>
          <w:sz w:val="26"/>
          <w:szCs w:val="26"/>
        </w:rPr>
      </w:pPr>
      <w:r w:rsidRPr="00F06A37">
        <w:rPr>
          <w:rFonts w:ascii="Times New Roman" w:hAnsi="Times New Roman"/>
          <w:b/>
          <w:sz w:val="26"/>
          <w:szCs w:val="26"/>
        </w:rPr>
        <w:t>в сфере противодействия коррупции за 2018 год</w:t>
      </w:r>
      <w:r w:rsidR="007C69E7" w:rsidRPr="00F06A37">
        <w:rPr>
          <w:rFonts w:ascii="Times New Roman" w:hAnsi="Times New Roman"/>
          <w:b/>
          <w:sz w:val="26"/>
          <w:szCs w:val="26"/>
        </w:rPr>
        <w:t xml:space="preserve"> </w:t>
      </w:r>
    </w:p>
    <w:p w:rsidR="007A61B0" w:rsidRPr="00F06A37" w:rsidRDefault="007A61B0" w:rsidP="00363411">
      <w:pPr>
        <w:spacing w:after="0" w:line="240" w:lineRule="auto"/>
        <w:ind w:firstLine="708"/>
        <w:jc w:val="center"/>
        <w:rPr>
          <w:rFonts w:ascii="Times New Roman" w:hAnsi="Times New Roman"/>
          <w:b/>
          <w:sz w:val="26"/>
          <w:szCs w:val="26"/>
        </w:rPr>
      </w:pPr>
    </w:p>
    <w:p w:rsidR="007A61B0" w:rsidRPr="00F06A37" w:rsidRDefault="007A61B0" w:rsidP="00363411">
      <w:pPr>
        <w:spacing w:after="0" w:line="240" w:lineRule="auto"/>
        <w:ind w:firstLine="708"/>
        <w:jc w:val="both"/>
        <w:rPr>
          <w:rFonts w:ascii="Times New Roman" w:hAnsi="Times New Roman"/>
          <w:sz w:val="26"/>
          <w:szCs w:val="26"/>
        </w:rPr>
      </w:pPr>
      <w:r w:rsidRPr="00F06A37">
        <w:rPr>
          <w:rFonts w:ascii="Times New Roman" w:hAnsi="Times New Roman"/>
          <w:sz w:val="26"/>
          <w:szCs w:val="26"/>
        </w:rPr>
        <w:t>Администрацией г. Белогорск в сфере противодействия коррупции пров</w:t>
      </w:r>
      <w:r w:rsidR="001A245F">
        <w:rPr>
          <w:rFonts w:ascii="Times New Roman" w:hAnsi="Times New Roman"/>
          <w:sz w:val="26"/>
          <w:szCs w:val="26"/>
        </w:rPr>
        <w:t>о</w:t>
      </w:r>
      <w:r w:rsidR="007C69E7" w:rsidRPr="00F06A37">
        <w:rPr>
          <w:rFonts w:ascii="Times New Roman" w:hAnsi="Times New Roman"/>
          <w:sz w:val="26"/>
          <w:szCs w:val="26"/>
        </w:rPr>
        <w:t>дится</w:t>
      </w:r>
      <w:r w:rsidRPr="00F06A37">
        <w:rPr>
          <w:rFonts w:ascii="Times New Roman" w:hAnsi="Times New Roman"/>
          <w:sz w:val="26"/>
          <w:szCs w:val="26"/>
        </w:rPr>
        <w:t xml:space="preserve"> следующая работа</w:t>
      </w:r>
      <w:r w:rsidR="007C69E7" w:rsidRPr="00F06A37">
        <w:rPr>
          <w:rFonts w:ascii="Times New Roman" w:hAnsi="Times New Roman"/>
          <w:sz w:val="26"/>
          <w:szCs w:val="26"/>
        </w:rPr>
        <w:t>:</w:t>
      </w:r>
    </w:p>
    <w:p w:rsidR="007A61B0" w:rsidRPr="00F06A37" w:rsidRDefault="007A61B0" w:rsidP="00363411">
      <w:pPr>
        <w:spacing w:after="0" w:line="240" w:lineRule="auto"/>
        <w:ind w:firstLine="720"/>
        <w:jc w:val="both"/>
        <w:rPr>
          <w:rFonts w:ascii="Times New Roman" w:hAnsi="Times New Roman"/>
          <w:sz w:val="26"/>
          <w:szCs w:val="26"/>
        </w:rPr>
      </w:pPr>
      <w:r w:rsidRPr="00F06A37">
        <w:rPr>
          <w:rFonts w:ascii="Times New Roman" w:hAnsi="Times New Roman"/>
          <w:sz w:val="26"/>
          <w:szCs w:val="26"/>
        </w:rPr>
        <w:t>В целях повышения прозрачности деятельности органов местного самоуправления на официальном сайте белогорск.рф и в газете «Белогорский вестник» публикуется информация о работе органов местного самоуправления, обеспечивается регулярное информационное наполнение сайта и опубликование принятых нормативных документов. Нормативные правовые акты, принятые Администрацией города, размещаются на официальном сайте в соответствующем разделе, муниципальная правовая база своевременно корректируется с учетом изменений, вносимых в муниципальные правовые акты.</w:t>
      </w:r>
    </w:p>
    <w:p w:rsidR="007A61B0" w:rsidRPr="00F06A37" w:rsidRDefault="007A61B0" w:rsidP="0045622A">
      <w:pPr>
        <w:spacing w:after="0" w:line="240" w:lineRule="auto"/>
        <w:ind w:firstLine="720"/>
        <w:jc w:val="both"/>
        <w:rPr>
          <w:rFonts w:ascii="Times New Roman" w:hAnsi="Times New Roman"/>
          <w:sz w:val="26"/>
          <w:szCs w:val="26"/>
        </w:rPr>
      </w:pPr>
      <w:r w:rsidRPr="00F06A37">
        <w:rPr>
          <w:rFonts w:ascii="Times New Roman" w:hAnsi="Times New Roman"/>
          <w:sz w:val="26"/>
          <w:szCs w:val="26"/>
        </w:rPr>
        <w:t xml:space="preserve">Администрацией города </w:t>
      </w:r>
      <w:r w:rsidR="001E6B2B" w:rsidRPr="00F06A37">
        <w:rPr>
          <w:rFonts w:ascii="Times New Roman" w:hAnsi="Times New Roman"/>
          <w:sz w:val="26"/>
          <w:szCs w:val="26"/>
        </w:rPr>
        <w:t xml:space="preserve">за 2018 год </w:t>
      </w:r>
      <w:r w:rsidRPr="00F06A37">
        <w:rPr>
          <w:rFonts w:ascii="Times New Roman" w:hAnsi="Times New Roman"/>
          <w:sz w:val="26"/>
          <w:szCs w:val="26"/>
        </w:rPr>
        <w:t xml:space="preserve">принято </w:t>
      </w:r>
      <w:r w:rsidR="004E2C38" w:rsidRPr="00F06A37">
        <w:rPr>
          <w:rFonts w:ascii="Times New Roman" w:hAnsi="Times New Roman"/>
          <w:sz w:val="26"/>
          <w:szCs w:val="26"/>
        </w:rPr>
        <w:t>234</w:t>
      </w:r>
      <w:r w:rsidRPr="00F06A37">
        <w:rPr>
          <w:rFonts w:ascii="Times New Roman" w:hAnsi="Times New Roman"/>
          <w:sz w:val="26"/>
          <w:szCs w:val="26"/>
        </w:rPr>
        <w:t xml:space="preserve"> нормативных муниципальных правовых документа</w:t>
      </w:r>
      <w:r w:rsidR="007C69E7" w:rsidRPr="00F06A37">
        <w:rPr>
          <w:rFonts w:ascii="Times New Roman" w:hAnsi="Times New Roman"/>
          <w:sz w:val="26"/>
          <w:szCs w:val="26"/>
        </w:rPr>
        <w:t xml:space="preserve">, </w:t>
      </w:r>
      <w:r w:rsidRPr="00F06A37">
        <w:rPr>
          <w:rFonts w:ascii="Times New Roman" w:hAnsi="Times New Roman"/>
          <w:sz w:val="26"/>
          <w:szCs w:val="26"/>
        </w:rPr>
        <w:t xml:space="preserve">Все принятые </w:t>
      </w:r>
      <w:r w:rsidR="007C69E7" w:rsidRPr="00F06A37">
        <w:rPr>
          <w:rFonts w:ascii="Times New Roman" w:hAnsi="Times New Roman"/>
          <w:sz w:val="26"/>
          <w:szCs w:val="26"/>
        </w:rPr>
        <w:t xml:space="preserve">муниципальные правовые акты </w:t>
      </w:r>
      <w:r w:rsidRPr="00F06A37">
        <w:rPr>
          <w:rFonts w:ascii="Times New Roman" w:hAnsi="Times New Roman"/>
          <w:sz w:val="26"/>
          <w:szCs w:val="26"/>
        </w:rPr>
        <w:t>размещены на официальном сайте города и опубликованы в газете «Белогорский вестник».</w:t>
      </w:r>
    </w:p>
    <w:p w:rsidR="007A61B0" w:rsidRPr="00F06A37" w:rsidRDefault="007A61B0" w:rsidP="00363411">
      <w:pPr>
        <w:shd w:val="clear" w:color="auto" w:fill="FFFFFF"/>
        <w:spacing w:after="0" w:line="240" w:lineRule="auto"/>
        <w:ind w:firstLine="708"/>
        <w:jc w:val="both"/>
        <w:rPr>
          <w:rFonts w:ascii="Times New Roman" w:hAnsi="Times New Roman"/>
          <w:sz w:val="26"/>
          <w:szCs w:val="26"/>
        </w:rPr>
      </w:pPr>
      <w:r w:rsidRPr="00F06A37">
        <w:rPr>
          <w:rFonts w:ascii="Times New Roman" w:hAnsi="Times New Roman"/>
          <w:sz w:val="26"/>
          <w:szCs w:val="26"/>
        </w:rPr>
        <w:t>Оперативное опубликование указанных материалов обеспечивает общедоступность и открытость, гарантируя при этом достоверность информации.</w:t>
      </w:r>
    </w:p>
    <w:p w:rsidR="007A61B0" w:rsidRPr="00F06A37" w:rsidRDefault="007A61B0" w:rsidP="00363411">
      <w:pPr>
        <w:spacing w:after="0" w:line="240" w:lineRule="auto"/>
        <w:ind w:right="-1" w:firstLine="708"/>
        <w:jc w:val="both"/>
        <w:rPr>
          <w:rFonts w:ascii="Times New Roman" w:hAnsi="Times New Roman"/>
          <w:sz w:val="26"/>
          <w:szCs w:val="26"/>
        </w:rPr>
      </w:pPr>
      <w:r w:rsidRPr="00F06A37">
        <w:rPr>
          <w:rFonts w:ascii="Times New Roman" w:hAnsi="Times New Roman"/>
          <w:sz w:val="26"/>
          <w:szCs w:val="26"/>
        </w:rPr>
        <w:t xml:space="preserve">На официальном сайте муниципального образования г. Белогорск в разделе «Администрация» размещен подраздел «Противодействие коррупции», где размещены действующие нормативные правовые акты Российской Федерации, Амурской области и Администрации города по вопросам противодействия коррупции. </w:t>
      </w:r>
    </w:p>
    <w:p w:rsidR="007A61B0" w:rsidRPr="00F06A37" w:rsidRDefault="007A61B0" w:rsidP="002A700D">
      <w:pPr>
        <w:spacing w:after="0" w:line="240" w:lineRule="auto"/>
        <w:ind w:right="-1" w:firstLine="708"/>
        <w:jc w:val="both"/>
        <w:rPr>
          <w:rFonts w:ascii="Times New Roman" w:hAnsi="Times New Roman"/>
          <w:sz w:val="26"/>
          <w:szCs w:val="26"/>
        </w:rPr>
      </w:pPr>
      <w:r w:rsidRPr="00F06A37">
        <w:rPr>
          <w:rFonts w:ascii="Times New Roman" w:hAnsi="Times New Roman"/>
          <w:sz w:val="26"/>
          <w:szCs w:val="26"/>
        </w:rPr>
        <w:t>Утвержден План мероприятий по противодействию коррупции в муниципальном образовании города Белогорск на 2018 – 2019 годы (постановление Администрации г. Белогорск от 21.03.2018 № 393), распоряжением от 24.05.2018 № 82р назначено ответственное лицо за направление сведений о лице, к которому было применено взыскание в виде увольнения (освобождения от должности) в связи с утратой доверия в Правительство Амурской области для их включения в реестр лиц, уволенных в связи с утратой доверия. Внесены изменения в Перечень коррупционных должностей по предоставлению ими справок о доходах, расходах, об имуществе и обязательствах имущественного характера на себя и членов своей семьи. Приняты Порядок получения муниципальными служащими Администрации города Белогорск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Порядок предварительного уведомления муниципальными служащими Администрации города Белогорск представителя нанимателя (работодателя) о намерении выполнять иную оплачиваемую работу, Положение о проведении конкурса на замещение вакантной должности руководителя муниципального учреждения муниципального образования города Белогорск. Утверждена муниципальная программа «Развитие муниципальной службы в Администрации города Белогорск на 2019-2023 годы».</w:t>
      </w:r>
    </w:p>
    <w:p w:rsidR="007A61B0" w:rsidRPr="00F06A37" w:rsidRDefault="007A61B0" w:rsidP="000C6E8C">
      <w:pPr>
        <w:spacing w:after="0" w:line="240" w:lineRule="auto"/>
        <w:ind w:right="-1" w:firstLine="720"/>
        <w:jc w:val="both"/>
        <w:rPr>
          <w:rFonts w:ascii="Times New Roman" w:hAnsi="Times New Roman"/>
          <w:sz w:val="26"/>
          <w:szCs w:val="26"/>
        </w:rPr>
      </w:pPr>
      <w:r w:rsidRPr="00F06A37">
        <w:rPr>
          <w:rFonts w:ascii="Times New Roman" w:hAnsi="Times New Roman"/>
          <w:sz w:val="26"/>
          <w:szCs w:val="26"/>
        </w:rPr>
        <w:t xml:space="preserve">Специалистами по кадрам Администрации города и ее структурных подразделений проводится постоянная работа с муниципальными служащими, включенными в Перечень коррупционных должностей по предоставлению ими справок о доходах, расходах, об имуществе и обязательствах имущественного характера на себя и членов своей семьи. </w:t>
      </w:r>
    </w:p>
    <w:p w:rsidR="007A61B0" w:rsidRPr="00F06A37" w:rsidRDefault="00E45DBB" w:rsidP="00C7487F">
      <w:pPr>
        <w:spacing w:after="0" w:line="240" w:lineRule="auto"/>
        <w:ind w:firstLine="720"/>
        <w:jc w:val="both"/>
        <w:rPr>
          <w:rFonts w:ascii="Times New Roman" w:hAnsi="Times New Roman"/>
          <w:sz w:val="26"/>
          <w:szCs w:val="26"/>
        </w:rPr>
      </w:pPr>
      <w:r w:rsidRPr="00F06A37">
        <w:rPr>
          <w:rFonts w:ascii="Times New Roman" w:hAnsi="Times New Roman"/>
          <w:sz w:val="26"/>
          <w:szCs w:val="26"/>
        </w:rPr>
        <w:lastRenderedPageBreak/>
        <w:t>Ежемесячно</w:t>
      </w:r>
      <w:r w:rsidR="007A61B0" w:rsidRPr="00F06A37">
        <w:rPr>
          <w:rFonts w:ascii="Times New Roman" w:hAnsi="Times New Roman"/>
          <w:sz w:val="26"/>
          <w:szCs w:val="26"/>
        </w:rPr>
        <w:t xml:space="preserve"> специалистами общего отдела проводится учеба аппарата, где до муниципальных служащих доводятся изменения в законодательстве о противодействии коррупции, проводится ознакомление и беседы с вновь принятыми муниципальными служащими о соблюдении законодательства в сфере противодействия коррупции. За 2018 год проведено </w:t>
      </w:r>
      <w:r w:rsidRPr="00F06A37">
        <w:rPr>
          <w:rFonts w:ascii="Times New Roman" w:hAnsi="Times New Roman"/>
          <w:sz w:val="26"/>
          <w:szCs w:val="26"/>
        </w:rPr>
        <w:t>10</w:t>
      </w:r>
      <w:r w:rsidR="007A61B0" w:rsidRPr="00F06A37">
        <w:rPr>
          <w:rFonts w:ascii="Times New Roman" w:hAnsi="Times New Roman"/>
          <w:sz w:val="26"/>
          <w:szCs w:val="26"/>
        </w:rPr>
        <w:t xml:space="preserve"> собраний</w:t>
      </w:r>
      <w:r w:rsidR="00764D99">
        <w:rPr>
          <w:rFonts w:ascii="Times New Roman" w:hAnsi="Times New Roman"/>
          <w:sz w:val="26"/>
          <w:szCs w:val="26"/>
        </w:rPr>
        <w:t xml:space="preserve">. </w:t>
      </w:r>
    </w:p>
    <w:p w:rsidR="007A61B0" w:rsidRPr="00F06A37" w:rsidRDefault="00764D99" w:rsidP="00C4179B">
      <w:pPr>
        <w:spacing w:after="0" w:line="240" w:lineRule="auto"/>
        <w:ind w:firstLine="720"/>
        <w:jc w:val="both"/>
        <w:rPr>
          <w:rFonts w:ascii="Times New Roman" w:hAnsi="Times New Roman"/>
          <w:sz w:val="26"/>
          <w:szCs w:val="26"/>
        </w:rPr>
      </w:pPr>
      <w:r>
        <w:rPr>
          <w:rFonts w:ascii="Times New Roman" w:hAnsi="Times New Roman"/>
          <w:sz w:val="26"/>
          <w:szCs w:val="26"/>
        </w:rPr>
        <w:t>За 2018 год</w:t>
      </w:r>
      <w:r w:rsidR="007A61B0" w:rsidRPr="00F06A37">
        <w:rPr>
          <w:rFonts w:ascii="Times New Roman" w:hAnsi="Times New Roman"/>
          <w:sz w:val="26"/>
          <w:szCs w:val="26"/>
        </w:rPr>
        <w:t xml:space="preserve"> приняты и проанализированы 60 справок о доходах, расходах, об имуществе и обязательствах имущественного характера. Из них 1 справка лица, замещающего муниципальную должность, 45 справок муниципальных служащих, 11 справок руководителей муниципальных учреждений и 8 справок вновь принятых муниципальных служащих и руководителей муниципальных учреждений.</w:t>
      </w:r>
    </w:p>
    <w:p w:rsidR="007A61B0" w:rsidRPr="00F06A37" w:rsidRDefault="007A61B0" w:rsidP="003D5CA1">
      <w:pPr>
        <w:spacing w:after="0" w:line="240" w:lineRule="auto"/>
        <w:ind w:firstLine="709"/>
        <w:jc w:val="both"/>
        <w:rPr>
          <w:rFonts w:ascii="Times New Roman" w:hAnsi="Times New Roman"/>
          <w:sz w:val="26"/>
          <w:szCs w:val="26"/>
        </w:rPr>
      </w:pPr>
      <w:r w:rsidRPr="00F06A37">
        <w:rPr>
          <w:rFonts w:ascii="Times New Roman" w:hAnsi="Times New Roman"/>
          <w:sz w:val="26"/>
          <w:szCs w:val="26"/>
        </w:rPr>
        <w:t xml:space="preserve">В 2018 году проведено 3 заседания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(далее – Этический Совет). На заседании рассмотрены материалы проверок в отношении 6 муниципальных служащих, проведенных на основании представлений прокуроры г. Белогорск. По фактам недостоверных и (или) неполных сведений о доходах, об имуществе и обязательствах имущественного характера за 2017 год, представленных муниципальными служащими (4 дела), а также не соблюдение муниципальными служащими требований к служебному поведению и (или) урегулированию конфликта интересов (2 дела). </w:t>
      </w:r>
    </w:p>
    <w:p w:rsidR="007A61B0" w:rsidRPr="00F06A37" w:rsidRDefault="007A61B0" w:rsidP="003D5CA1">
      <w:pPr>
        <w:spacing w:after="0" w:line="240" w:lineRule="auto"/>
        <w:ind w:firstLine="709"/>
        <w:jc w:val="both"/>
        <w:rPr>
          <w:rFonts w:ascii="Times New Roman" w:hAnsi="Times New Roman"/>
          <w:sz w:val="26"/>
          <w:szCs w:val="26"/>
        </w:rPr>
      </w:pPr>
      <w:r w:rsidRPr="00F06A37">
        <w:rPr>
          <w:rFonts w:ascii="Times New Roman" w:hAnsi="Times New Roman"/>
          <w:sz w:val="26"/>
          <w:szCs w:val="26"/>
        </w:rPr>
        <w:t xml:space="preserve">По результатам заседаний:  </w:t>
      </w:r>
    </w:p>
    <w:p w:rsidR="007A61B0" w:rsidRPr="00F06A37" w:rsidRDefault="007A61B0" w:rsidP="003D5CA1">
      <w:pPr>
        <w:spacing w:after="0" w:line="240" w:lineRule="auto"/>
        <w:ind w:firstLine="709"/>
        <w:jc w:val="both"/>
        <w:rPr>
          <w:rFonts w:ascii="Times New Roman" w:hAnsi="Times New Roman"/>
          <w:sz w:val="26"/>
          <w:szCs w:val="26"/>
        </w:rPr>
      </w:pPr>
      <w:r w:rsidRPr="00F06A37">
        <w:rPr>
          <w:rFonts w:ascii="Times New Roman" w:hAnsi="Times New Roman"/>
          <w:sz w:val="26"/>
          <w:szCs w:val="26"/>
        </w:rPr>
        <w:t>- по рассмотрению наличия конфликта интересов у одного муниципального служащего конфликт интересов отсутствует, другому муниципальному служащему объявлен выговор;</w:t>
      </w:r>
    </w:p>
    <w:p w:rsidR="007A61B0" w:rsidRPr="00F06A37" w:rsidRDefault="007A61B0" w:rsidP="003D5CA1">
      <w:pPr>
        <w:spacing w:after="0" w:line="240" w:lineRule="auto"/>
        <w:ind w:firstLine="709"/>
        <w:jc w:val="both"/>
        <w:rPr>
          <w:rFonts w:ascii="Times New Roman" w:hAnsi="Times New Roman"/>
          <w:sz w:val="26"/>
          <w:szCs w:val="26"/>
        </w:rPr>
      </w:pPr>
      <w:r w:rsidRPr="00F06A37">
        <w:rPr>
          <w:rFonts w:ascii="Times New Roman" w:hAnsi="Times New Roman"/>
          <w:sz w:val="26"/>
          <w:szCs w:val="26"/>
        </w:rPr>
        <w:t xml:space="preserve">- по фактам предоставления неполных (недостоверных) сведений о доходах по трем служащим сведения признаны полными и достоверными, по  одному муниципальному служащему – нарушение признано несущественным проступком, в связи с отсутствием отягчающих обстоятельств (совершено впервые, отсутствие нареканий и неснятых дисциплинарных взысканий) -  принято решение дисциплинарное взыскание не применять. </w:t>
      </w:r>
    </w:p>
    <w:p w:rsidR="007A61B0" w:rsidRPr="00F06A37" w:rsidRDefault="007A61B0" w:rsidP="00E73BFE">
      <w:pPr>
        <w:spacing w:after="0" w:line="240" w:lineRule="auto"/>
        <w:ind w:firstLine="709"/>
        <w:jc w:val="both"/>
        <w:rPr>
          <w:rFonts w:ascii="Times New Roman" w:hAnsi="Times New Roman"/>
          <w:sz w:val="26"/>
          <w:szCs w:val="26"/>
        </w:rPr>
      </w:pPr>
      <w:r w:rsidRPr="00F06A37">
        <w:rPr>
          <w:rFonts w:ascii="Times New Roman" w:hAnsi="Times New Roman"/>
          <w:sz w:val="26"/>
          <w:szCs w:val="26"/>
        </w:rPr>
        <w:t>В октябре 2018 года проведена аттестация муниципальных служащих Администрации г.</w:t>
      </w:r>
      <w:r w:rsidR="00E73BFE" w:rsidRPr="00F06A37">
        <w:rPr>
          <w:rFonts w:ascii="Times New Roman" w:hAnsi="Times New Roman"/>
          <w:sz w:val="26"/>
          <w:szCs w:val="26"/>
        </w:rPr>
        <w:t xml:space="preserve"> </w:t>
      </w:r>
      <w:r w:rsidRPr="00F06A37">
        <w:rPr>
          <w:rFonts w:ascii="Times New Roman" w:hAnsi="Times New Roman"/>
          <w:sz w:val="26"/>
          <w:szCs w:val="26"/>
        </w:rPr>
        <w:t>Белогорск. В ходе прохождения аттестации помимо деятельности служащего оценивалось в том числе знание им действующего законодательства о муниципальной службе и о противодействии коррупции.</w:t>
      </w:r>
    </w:p>
    <w:p w:rsidR="007A61B0" w:rsidRPr="00F06A37" w:rsidRDefault="007A61B0" w:rsidP="007C69E7">
      <w:pPr>
        <w:autoSpaceDE w:val="0"/>
        <w:autoSpaceDN w:val="0"/>
        <w:adjustRightInd w:val="0"/>
        <w:spacing w:after="0" w:line="240" w:lineRule="auto"/>
        <w:ind w:firstLine="720"/>
        <w:jc w:val="both"/>
        <w:rPr>
          <w:rFonts w:ascii="Times New Roman" w:hAnsi="Times New Roman"/>
          <w:sz w:val="26"/>
          <w:szCs w:val="26"/>
        </w:rPr>
      </w:pPr>
      <w:r w:rsidRPr="00F06A37">
        <w:rPr>
          <w:rFonts w:ascii="Times New Roman" w:hAnsi="Times New Roman"/>
          <w:sz w:val="26"/>
          <w:szCs w:val="26"/>
        </w:rPr>
        <w:t>Прошли аттестацию 13 человек, все аттестуемые признаны соответствующими занимаемой должности.</w:t>
      </w:r>
    </w:p>
    <w:p w:rsidR="007C69E7" w:rsidRPr="00F06A37" w:rsidRDefault="007C69E7" w:rsidP="007C69E7">
      <w:pPr>
        <w:spacing w:after="0" w:line="240" w:lineRule="auto"/>
        <w:ind w:firstLine="709"/>
        <w:jc w:val="both"/>
        <w:rPr>
          <w:rFonts w:ascii="Times New Roman" w:hAnsi="Times New Roman"/>
          <w:sz w:val="26"/>
          <w:szCs w:val="26"/>
        </w:rPr>
      </w:pPr>
      <w:r w:rsidRPr="00F06A37">
        <w:rPr>
          <w:rFonts w:ascii="Times New Roman" w:hAnsi="Times New Roman"/>
          <w:color w:val="000000"/>
          <w:sz w:val="26"/>
          <w:szCs w:val="26"/>
          <w:shd w:val="clear" w:color="auto" w:fill="FFFFFF"/>
        </w:rPr>
        <w:t xml:space="preserve">В соответствии с постановлением Администрации города Белогорск от 18.03.2014 № 483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на территории муниципального образования города Белогорск» финансовым управлением города, как органом внутреннего муниципального финансового контроля, в 2018 году реализовывался комплекс мер по контролю в финансово-бюджетной сфере и в сфере закупок товаров, работ, услуг для обеспечения муниципальных нужд. </w:t>
      </w:r>
    </w:p>
    <w:p w:rsidR="007C69E7" w:rsidRPr="00F06A37" w:rsidRDefault="007C69E7" w:rsidP="007C69E7">
      <w:pPr>
        <w:pStyle w:val="10"/>
        <w:ind w:firstLine="709"/>
        <w:rPr>
          <w:sz w:val="26"/>
          <w:szCs w:val="26"/>
          <w:lang w:val="ru-RU"/>
        </w:rPr>
      </w:pPr>
      <w:r w:rsidRPr="00F06A37">
        <w:rPr>
          <w:sz w:val="26"/>
          <w:szCs w:val="26"/>
        </w:rPr>
        <w:t xml:space="preserve">Контрольная деятельность осуществлялась в соответствии с Планом контрольной деятельности МКУ «Финансовое управление Администрации </w:t>
      </w:r>
      <w:r w:rsidRPr="00F06A37">
        <w:rPr>
          <w:sz w:val="26"/>
          <w:szCs w:val="26"/>
        </w:rPr>
        <w:lastRenderedPageBreak/>
        <w:t>г. Белогорск» на 201</w:t>
      </w:r>
      <w:r w:rsidRPr="00F06A37">
        <w:rPr>
          <w:sz w:val="26"/>
          <w:szCs w:val="26"/>
          <w:lang w:val="ru-RU"/>
        </w:rPr>
        <w:t>8</w:t>
      </w:r>
      <w:r w:rsidRPr="00F06A37">
        <w:rPr>
          <w:sz w:val="26"/>
          <w:szCs w:val="26"/>
        </w:rPr>
        <w:t xml:space="preserve"> год, утвержденным приказом МКУ «Финансовое управление Администрации г. Белогорск» </w:t>
      </w:r>
      <w:r w:rsidRPr="00F06A37">
        <w:rPr>
          <w:sz w:val="26"/>
          <w:szCs w:val="26"/>
          <w:lang w:val="ru-RU"/>
        </w:rPr>
        <w:t xml:space="preserve">от </w:t>
      </w:r>
      <w:r w:rsidRPr="00F06A37">
        <w:rPr>
          <w:sz w:val="26"/>
          <w:szCs w:val="26"/>
        </w:rPr>
        <w:t>1</w:t>
      </w:r>
      <w:r w:rsidRPr="00F06A37">
        <w:rPr>
          <w:sz w:val="26"/>
          <w:szCs w:val="26"/>
          <w:lang w:val="ru-RU"/>
        </w:rPr>
        <w:t>3</w:t>
      </w:r>
      <w:r w:rsidRPr="00F06A37">
        <w:rPr>
          <w:sz w:val="26"/>
          <w:szCs w:val="26"/>
        </w:rPr>
        <w:t>.12.201</w:t>
      </w:r>
      <w:r w:rsidRPr="00F06A37">
        <w:rPr>
          <w:sz w:val="26"/>
          <w:szCs w:val="26"/>
          <w:lang w:val="ru-RU"/>
        </w:rPr>
        <w:t xml:space="preserve">7 </w:t>
      </w:r>
      <w:r w:rsidRPr="00F06A37">
        <w:rPr>
          <w:sz w:val="26"/>
          <w:szCs w:val="26"/>
        </w:rPr>
        <w:t xml:space="preserve">№ </w:t>
      </w:r>
      <w:r w:rsidRPr="00F06A37">
        <w:rPr>
          <w:sz w:val="26"/>
          <w:szCs w:val="26"/>
          <w:lang w:val="ru-RU"/>
        </w:rPr>
        <w:t>64,</w:t>
      </w:r>
      <w:r w:rsidRPr="00F06A37">
        <w:rPr>
          <w:sz w:val="26"/>
          <w:szCs w:val="26"/>
        </w:rPr>
        <w:t xml:space="preserve"> согласованным с Главой муниципального образования г. Белогорск и заместителем Главы по экономике.</w:t>
      </w:r>
      <w:r w:rsidRPr="00F06A37">
        <w:rPr>
          <w:sz w:val="26"/>
          <w:szCs w:val="26"/>
          <w:lang w:val="ru-RU"/>
        </w:rPr>
        <w:t xml:space="preserve"> </w:t>
      </w:r>
    </w:p>
    <w:p w:rsidR="007C69E7" w:rsidRPr="00F06A37" w:rsidRDefault="007C69E7" w:rsidP="007C69E7">
      <w:pPr>
        <w:pStyle w:val="10"/>
        <w:ind w:firstLine="709"/>
        <w:rPr>
          <w:sz w:val="26"/>
          <w:szCs w:val="26"/>
        </w:rPr>
      </w:pPr>
      <w:r w:rsidRPr="00F06A37">
        <w:rPr>
          <w:sz w:val="26"/>
          <w:szCs w:val="26"/>
          <w:lang w:val="ru-RU"/>
        </w:rPr>
        <w:t>Темами для проведения контрольных мероприятий являлись</w:t>
      </w:r>
      <w:r w:rsidRPr="00F06A37">
        <w:rPr>
          <w:sz w:val="26"/>
          <w:szCs w:val="26"/>
        </w:rPr>
        <w:t xml:space="preserve">: </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 xml:space="preserve">проверка целевого и эффективного использования средств, выделенных на реализацию мероприятий в рамках городских целевых программ; </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соблюдение требований, предусмотренных ч. 3 ст.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соблюдение требований, предусмотренных ч. 8 ст.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 xml:space="preserve">проверка целевого и эффективного использования средств, выделенных на обеспечение муниципального задания на оказание муниципальных услуг (выполнение работ); </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обеспечения контроля целевого и эффективного использования средств, выделенных на обеспечение деятельности (оказание услуг);</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проверки внебюджетной деятельности;</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обеспечение контроля за поступлением и использованием средств полученных от приносящей доход деятельности;</w:t>
      </w:r>
    </w:p>
    <w:p w:rsidR="007C69E7" w:rsidRPr="00F06A37" w:rsidRDefault="007C69E7" w:rsidP="007C69E7">
      <w:pPr>
        <w:spacing w:after="0"/>
        <w:ind w:firstLine="709"/>
        <w:jc w:val="both"/>
        <w:rPr>
          <w:rFonts w:ascii="Times New Roman" w:hAnsi="Times New Roman"/>
          <w:sz w:val="26"/>
          <w:szCs w:val="26"/>
        </w:rPr>
      </w:pPr>
      <w:r w:rsidRPr="00F06A37">
        <w:rPr>
          <w:rFonts w:ascii="Times New Roman" w:hAnsi="Times New Roman"/>
          <w:sz w:val="26"/>
          <w:szCs w:val="26"/>
        </w:rPr>
        <w:t xml:space="preserve">Контроль в сфере закупок осуществляется МКУ «Финансовое управление Администрации г. Белогорск», в рамках полномочий, предусмотренных частями 3, 8 статьи 99 </w:t>
      </w:r>
      <w:r w:rsidRPr="00F06A37">
        <w:rPr>
          <w:rFonts w:ascii="Times New Roman" w:hAnsi="Times New Roman"/>
          <w:bCs/>
          <w:sz w:val="26"/>
          <w:szCs w:val="26"/>
        </w:rPr>
        <w:t>Федерального закона от 05.04.2013 № 44-ФЗ «</w:t>
      </w:r>
      <w:r w:rsidRPr="00F06A37">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 (далее – Федеральный закон № 44-ФЗ). В ходе проведения были выявлены типичные нарушения:</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нарушены сроки и требования, указанные в Порядке размещения отчета об исполнении контракта;</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отчеты об исполнении контрактов и о результатах отдельных этапов их исполнения не размещаются на сайте единой информационной системе в сфере закупок;</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неприменение мер ответственности по контракту (договору) отсутствие неустоек (пеней, штрафов) с недобросовестного поставщика (подрядчика, исполнителя), в связи с просрочкой исполнением поставщиком обязательств;</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нарушение ч. 4 ст. 19 Федерального закона № 44-ФЗ –производились закупки товаров, работ, услуг без определения нормативных затрат;</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нарушение при приемке товаров, работ, услуг и оформление результатов исполнения контрактов;</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изменение условий заключенного контракта в ходе его исполнения, в том числе объемов выполненных работ и оказанных услуг, изменение сроков исполнения контракта, иных его существенных условий.</w:t>
      </w:r>
    </w:p>
    <w:p w:rsidR="007C69E7" w:rsidRPr="00F06A37" w:rsidRDefault="007C69E7" w:rsidP="007C69E7">
      <w:pPr>
        <w:pStyle w:val="ConsPlusNormal"/>
        <w:ind w:firstLine="709"/>
        <w:jc w:val="both"/>
        <w:rPr>
          <w:sz w:val="26"/>
          <w:szCs w:val="26"/>
        </w:rPr>
      </w:pPr>
      <w:r w:rsidRPr="00F06A37">
        <w:rPr>
          <w:sz w:val="26"/>
          <w:szCs w:val="26"/>
        </w:rPr>
        <w:t xml:space="preserve">За 2018 год план контрольной деятельности МКУ «Финансовое управление Администрации г. Белогорск» исполнен в полном объеме. </w:t>
      </w:r>
    </w:p>
    <w:p w:rsidR="007C69E7" w:rsidRPr="00F06A37" w:rsidRDefault="007C69E7" w:rsidP="007C69E7">
      <w:pPr>
        <w:suppressAutoHyphens/>
        <w:spacing w:after="0"/>
        <w:ind w:firstLine="709"/>
        <w:jc w:val="both"/>
        <w:rPr>
          <w:rFonts w:ascii="Times New Roman" w:hAnsi="Times New Roman"/>
          <w:sz w:val="26"/>
          <w:szCs w:val="26"/>
        </w:rPr>
      </w:pPr>
      <w:r w:rsidRPr="00F06A37">
        <w:rPr>
          <w:rFonts w:ascii="Times New Roman" w:hAnsi="Times New Roman"/>
          <w:sz w:val="26"/>
          <w:szCs w:val="26"/>
        </w:rPr>
        <w:lastRenderedPageBreak/>
        <w:t>Всего за отчетный год проведено 19 контрольных мероприятий, из них 5 внеплановых.</w:t>
      </w:r>
    </w:p>
    <w:p w:rsidR="007C69E7" w:rsidRPr="00F06A37" w:rsidRDefault="007C69E7" w:rsidP="007C69E7">
      <w:pPr>
        <w:pStyle w:val="ConsPlusNonformat"/>
        <w:ind w:firstLine="709"/>
        <w:jc w:val="both"/>
        <w:rPr>
          <w:rFonts w:ascii="Times New Roman" w:hAnsi="Times New Roman" w:cs="Times New Roman"/>
          <w:sz w:val="26"/>
          <w:szCs w:val="26"/>
        </w:rPr>
      </w:pPr>
      <w:r w:rsidRPr="00F06A37">
        <w:rPr>
          <w:rFonts w:ascii="Times New Roman" w:hAnsi="Times New Roman" w:cs="Times New Roman"/>
          <w:sz w:val="26"/>
          <w:szCs w:val="26"/>
        </w:rPr>
        <w:t>В качестве объектов контроля в отчетном периоде выступали органы местного самоуправления (3), казенные учреждения (9), муниципальные бюджетные и автономные учреждения (7).</w:t>
      </w:r>
    </w:p>
    <w:p w:rsidR="007C69E7" w:rsidRPr="00F06A37" w:rsidRDefault="007C69E7" w:rsidP="007C69E7">
      <w:pPr>
        <w:suppressAutoHyphens/>
        <w:spacing w:after="0"/>
        <w:ind w:firstLine="709"/>
        <w:jc w:val="both"/>
        <w:rPr>
          <w:rFonts w:ascii="Times New Roman" w:hAnsi="Times New Roman"/>
          <w:sz w:val="26"/>
          <w:szCs w:val="26"/>
        </w:rPr>
      </w:pPr>
      <w:r w:rsidRPr="00F06A37">
        <w:rPr>
          <w:rFonts w:ascii="Times New Roman" w:hAnsi="Times New Roman"/>
          <w:sz w:val="26"/>
          <w:szCs w:val="26"/>
        </w:rPr>
        <w:t xml:space="preserve">В соответствии со статьей 269.2 Бюджетного кодекса Российской Федерации, при осуществлении контрольной деятельности применялись такие методы осуществления муниципального финансового контроля, как выездная проверка. </w:t>
      </w:r>
    </w:p>
    <w:p w:rsidR="007C69E7" w:rsidRPr="00F06A37" w:rsidRDefault="007C69E7" w:rsidP="007C69E7">
      <w:pPr>
        <w:suppressAutoHyphens/>
        <w:autoSpaceDE w:val="0"/>
        <w:autoSpaceDN w:val="0"/>
        <w:adjustRightInd w:val="0"/>
        <w:spacing w:after="0"/>
        <w:ind w:firstLine="709"/>
        <w:jc w:val="both"/>
        <w:rPr>
          <w:rFonts w:ascii="Times New Roman" w:hAnsi="Times New Roman"/>
          <w:sz w:val="26"/>
          <w:szCs w:val="26"/>
        </w:rPr>
      </w:pPr>
      <w:r w:rsidRPr="00F06A37">
        <w:rPr>
          <w:rFonts w:ascii="Times New Roman" w:hAnsi="Times New Roman"/>
          <w:sz w:val="26"/>
          <w:szCs w:val="26"/>
        </w:rPr>
        <w:t>Объем проверенных расходов местного бюджета составил 253 888,35 тыс. руб. Выявлено нарушений в сумме 4 746,3 тыс. руб., в том числе:</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ab/>
        <w:t>нецелевое использование бюджетных средств и средств, полученных из бюджета –16,7 тыс. руб.;</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неэффективное использование средств – 133,5 тыс. руб.;</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нарушение действующего законодательства – 98,5 тыс. руб.;</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необоснованное, неправомерное расходование средств и прочие финансовые нарушения- 4,0 тыс. руб.;</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нарушение ведение бюджетного, бухгалтерского учета, кассовых операций- 4 493,6 тыс. руб.;</w:t>
      </w:r>
    </w:p>
    <w:p w:rsidR="007C69E7" w:rsidRPr="00F06A37" w:rsidRDefault="007C69E7" w:rsidP="007C69E7">
      <w:pPr>
        <w:suppressAutoHyphens/>
        <w:autoSpaceDE w:val="0"/>
        <w:autoSpaceDN w:val="0"/>
        <w:adjustRightInd w:val="0"/>
        <w:spacing w:after="0"/>
        <w:ind w:firstLine="709"/>
        <w:jc w:val="both"/>
        <w:rPr>
          <w:rFonts w:ascii="Times New Roman" w:hAnsi="Times New Roman"/>
          <w:sz w:val="26"/>
          <w:szCs w:val="26"/>
        </w:rPr>
      </w:pPr>
      <w:r w:rsidRPr="00F06A37">
        <w:rPr>
          <w:rFonts w:ascii="Times New Roman" w:hAnsi="Times New Roman"/>
          <w:sz w:val="26"/>
          <w:szCs w:val="26"/>
        </w:rPr>
        <w:t xml:space="preserve">Значительный удельный вес в составе выявленных нарушений занимают нарушения правил ведения бухгалтерского учета, бюджетного учета, кассовых операций. Среди данной категории нарушений типичными являются: </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непринятие денежных обязательств по авансовым платежам;</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 xml:space="preserve">несоответствие данных синтетического и аналитического с данными бухгалтерской отчетности; </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 xml:space="preserve">отражение хозяйственных операций без оправдательных первичных учетных документов, на основании которых производится принятие к учету товаров, работ, услуг; </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 xml:space="preserve">нарушения требований к оформлению первичных учетных документов; </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 xml:space="preserve">рабочий план счетов не соответствует утвержденному в учетной политике; </w:t>
      </w:r>
    </w:p>
    <w:p w:rsidR="007C69E7" w:rsidRPr="00F06A37" w:rsidRDefault="007C69E7" w:rsidP="007C69E7">
      <w:pPr>
        <w:pStyle w:val="a3"/>
        <w:numPr>
          <w:ilvl w:val="0"/>
          <w:numId w:val="7"/>
        </w:numPr>
        <w:tabs>
          <w:tab w:val="left" w:pos="0"/>
        </w:tabs>
        <w:ind w:left="714" w:hanging="357"/>
        <w:jc w:val="both"/>
        <w:rPr>
          <w:sz w:val="26"/>
          <w:szCs w:val="26"/>
        </w:rPr>
      </w:pPr>
      <w:r w:rsidRPr="00F06A37">
        <w:rPr>
          <w:sz w:val="26"/>
          <w:szCs w:val="26"/>
        </w:rPr>
        <w:t>нарушения относительно формирования и утверждения учетной политики.</w:t>
      </w:r>
    </w:p>
    <w:p w:rsidR="007C69E7" w:rsidRPr="00F06A37" w:rsidRDefault="007C69E7" w:rsidP="007C69E7">
      <w:pPr>
        <w:suppressAutoHyphens/>
        <w:autoSpaceDE w:val="0"/>
        <w:autoSpaceDN w:val="0"/>
        <w:adjustRightInd w:val="0"/>
        <w:spacing w:after="0"/>
        <w:ind w:firstLine="709"/>
        <w:jc w:val="both"/>
        <w:rPr>
          <w:rFonts w:ascii="Times New Roman" w:hAnsi="Times New Roman"/>
          <w:sz w:val="26"/>
          <w:szCs w:val="26"/>
        </w:rPr>
      </w:pPr>
      <w:r w:rsidRPr="00F06A37">
        <w:rPr>
          <w:rFonts w:ascii="Times New Roman" w:hAnsi="Times New Roman"/>
          <w:sz w:val="26"/>
          <w:szCs w:val="26"/>
        </w:rPr>
        <w:t xml:space="preserve">В составе выявленных нарушений при проверке деятельности автономных учреждений выявлены нарушения такие, как несвоевременное составление плана финансовой деятельности, недостоверные данные при составлении отчетов об исполнении муниципальных заданий, показатель объема по услуге «Реализация дополнительных общеразвивающих программ» в результате счетной ошибки нереально завышен. </w:t>
      </w:r>
    </w:p>
    <w:p w:rsidR="007C69E7" w:rsidRPr="00F06A37" w:rsidRDefault="007C69E7" w:rsidP="007C69E7">
      <w:pPr>
        <w:spacing w:after="0"/>
        <w:ind w:firstLine="709"/>
        <w:jc w:val="both"/>
        <w:rPr>
          <w:rFonts w:ascii="Times New Roman" w:hAnsi="Times New Roman"/>
          <w:sz w:val="26"/>
          <w:szCs w:val="26"/>
        </w:rPr>
      </w:pPr>
      <w:r w:rsidRPr="00F06A37">
        <w:rPr>
          <w:rFonts w:ascii="Times New Roman" w:hAnsi="Times New Roman"/>
          <w:sz w:val="26"/>
          <w:szCs w:val="26"/>
        </w:rPr>
        <w:t xml:space="preserve">В отчетном периоде по результатам контрольных мероприятий оформлено 19 актов. </w:t>
      </w:r>
    </w:p>
    <w:p w:rsidR="007C69E7" w:rsidRPr="00F06A37" w:rsidRDefault="007C69E7" w:rsidP="007C69E7">
      <w:pPr>
        <w:spacing w:after="0"/>
        <w:ind w:firstLine="709"/>
        <w:jc w:val="both"/>
        <w:rPr>
          <w:rFonts w:ascii="Times New Roman" w:hAnsi="Times New Roman"/>
          <w:sz w:val="26"/>
          <w:szCs w:val="26"/>
        </w:rPr>
      </w:pPr>
      <w:r w:rsidRPr="00F06A37">
        <w:rPr>
          <w:rFonts w:ascii="Times New Roman" w:hAnsi="Times New Roman"/>
          <w:sz w:val="26"/>
          <w:szCs w:val="26"/>
        </w:rPr>
        <w:t xml:space="preserve">По результатам проведенных контрольных мероприятий финансовым управлением принимались соответствующие меры к объектам контроля на имя руководителей учреждений направлено 8 предписаний, с предложениями об </w:t>
      </w:r>
      <w:r w:rsidRPr="00F06A37">
        <w:rPr>
          <w:rFonts w:ascii="Times New Roman" w:hAnsi="Times New Roman"/>
          <w:sz w:val="26"/>
          <w:szCs w:val="26"/>
        </w:rPr>
        <w:lastRenderedPageBreak/>
        <w:t>устранении допущенных нарушений, с требованием о возмещении ущерба, причиненного муниципальному образованию на сумму 31 тыс. руб.</w:t>
      </w:r>
    </w:p>
    <w:p w:rsidR="007C69E7" w:rsidRPr="00F06A37" w:rsidRDefault="007C69E7" w:rsidP="007C69E7">
      <w:pPr>
        <w:spacing w:after="0"/>
        <w:ind w:firstLine="709"/>
        <w:jc w:val="both"/>
        <w:rPr>
          <w:rFonts w:ascii="Times New Roman" w:hAnsi="Times New Roman"/>
          <w:spacing w:val="-5"/>
          <w:sz w:val="26"/>
          <w:szCs w:val="26"/>
        </w:rPr>
      </w:pPr>
      <w:r w:rsidRPr="00F06A37">
        <w:rPr>
          <w:rFonts w:ascii="Times New Roman" w:hAnsi="Times New Roman"/>
          <w:spacing w:val="-5"/>
          <w:sz w:val="26"/>
          <w:szCs w:val="26"/>
        </w:rPr>
        <w:t>В течение 2018 года восстановлено в доход бюджета 102,1 тыс. руб. и штраф за совершенное административное нарушение 2017 года в сумме 4 тыс. руб.</w:t>
      </w:r>
    </w:p>
    <w:p w:rsidR="007C69E7" w:rsidRPr="00F06A37" w:rsidRDefault="007C69E7" w:rsidP="007C69E7">
      <w:pPr>
        <w:spacing w:after="0"/>
        <w:ind w:firstLine="709"/>
        <w:jc w:val="both"/>
        <w:rPr>
          <w:rFonts w:ascii="Times New Roman" w:hAnsi="Times New Roman"/>
          <w:sz w:val="26"/>
          <w:szCs w:val="26"/>
        </w:rPr>
      </w:pPr>
      <w:r w:rsidRPr="00F06A37">
        <w:rPr>
          <w:rFonts w:ascii="Times New Roman" w:hAnsi="Times New Roman"/>
          <w:sz w:val="26"/>
          <w:szCs w:val="26"/>
        </w:rPr>
        <w:t>По результатам контрольных мероприятий в рамках исполнения предписаний финансового управления за 2018 год за допущенные нарушения 5 должностных лиц были привлечены к дисциплинарной ответственности.</w:t>
      </w:r>
    </w:p>
    <w:p w:rsidR="007C69E7" w:rsidRPr="00F06A37" w:rsidRDefault="007C69E7" w:rsidP="007C69E7">
      <w:pPr>
        <w:spacing w:after="0"/>
        <w:ind w:firstLine="709"/>
        <w:jc w:val="both"/>
        <w:rPr>
          <w:rFonts w:ascii="Times New Roman" w:hAnsi="Times New Roman"/>
          <w:sz w:val="26"/>
          <w:szCs w:val="26"/>
        </w:rPr>
      </w:pPr>
      <w:r w:rsidRPr="00F06A37">
        <w:rPr>
          <w:rFonts w:ascii="Times New Roman" w:hAnsi="Times New Roman"/>
          <w:sz w:val="26"/>
          <w:szCs w:val="26"/>
        </w:rPr>
        <w:t xml:space="preserve">На основании одного контрольного мероприятия проведенного в 2018 году в адрес Амурского УФАС России, направлены материалы за допущенные нарушения законодательства Российской Федерации о контрактной системе в сфере закупок для привлечения к административной ответственности. По результатам рассмотрения вышеуказанного материала, по решению Амурского УФАС России учреждение, допустившее нарушения в сфере закупок в связи с истечением срока исковой давности к административной ответственности привлекаться не будет. </w:t>
      </w:r>
    </w:p>
    <w:p w:rsidR="007C69E7" w:rsidRPr="00F06A37" w:rsidRDefault="007C69E7" w:rsidP="007C69E7">
      <w:pPr>
        <w:pStyle w:val="a3"/>
        <w:tabs>
          <w:tab w:val="left" w:pos="0"/>
        </w:tabs>
        <w:ind w:left="0"/>
        <w:jc w:val="both"/>
        <w:rPr>
          <w:sz w:val="26"/>
          <w:szCs w:val="26"/>
        </w:rPr>
      </w:pPr>
      <w:r w:rsidRPr="00F06A37">
        <w:rPr>
          <w:sz w:val="26"/>
          <w:szCs w:val="26"/>
        </w:rPr>
        <w:tab/>
        <w:t>Материалы в следственные органы не направлялись.</w:t>
      </w:r>
    </w:p>
    <w:p w:rsidR="007A61B0" w:rsidRPr="00F06A37" w:rsidRDefault="00A60043" w:rsidP="007C69E7">
      <w:pPr>
        <w:pStyle w:val="a3"/>
        <w:tabs>
          <w:tab w:val="left" w:pos="0"/>
        </w:tabs>
        <w:ind w:left="0"/>
        <w:jc w:val="both"/>
        <w:rPr>
          <w:sz w:val="26"/>
          <w:szCs w:val="26"/>
        </w:rPr>
      </w:pPr>
      <w:r w:rsidRPr="00F06A37">
        <w:rPr>
          <w:sz w:val="26"/>
          <w:szCs w:val="26"/>
        </w:rPr>
        <w:tab/>
      </w:r>
      <w:r w:rsidR="007A61B0" w:rsidRPr="00F06A37">
        <w:rPr>
          <w:sz w:val="26"/>
          <w:szCs w:val="26"/>
        </w:rPr>
        <w:t xml:space="preserve">В целях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города создан отдел муниципального заказа. </w:t>
      </w:r>
    </w:p>
    <w:p w:rsidR="007A61B0" w:rsidRPr="00F06A37" w:rsidRDefault="007A61B0" w:rsidP="00312296">
      <w:pPr>
        <w:autoSpaceDE w:val="0"/>
        <w:autoSpaceDN w:val="0"/>
        <w:adjustRightInd w:val="0"/>
        <w:spacing w:after="0" w:line="240" w:lineRule="auto"/>
        <w:ind w:firstLine="708"/>
        <w:jc w:val="both"/>
        <w:rPr>
          <w:rFonts w:ascii="Times New Roman" w:hAnsi="Times New Roman"/>
          <w:sz w:val="26"/>
          <w:szCs w:val="26"/>
        </w:rPr>
      </w:pPr>
      <w:r w:rsidRPr="00F06A37">
        <w:rPr>
          <w:rFonts w:ascii="Times New Roman" w:hAnsi="Times New Roman"/>
          <w:sz w:val="26"/>
          <w:szCs w:val="26"/>
        </w:rPr>
        <w:t>Отдел муниципального заказа - это уполномоченный орган при определении поставщиков (подрядчиков, исполнителей) для недопущения нарушений антимонопольного законодательства. Он проводит проверку соответствия заявки требованиям законодательства. Заявку</w:t>
      </w:r>
      <w:r w:rsidR="00891AAF">
        <w:rPr>
          <w:rFonts w:ascii="Times New Roman" w:hAnsi="Times New Roman"/>
          <w:sz w:val="26"/>
          <w:szCs w:val="26"/>
        </w:rPr>
        <w:t>,</w:t>
      </w:r>
      <w:r w:rsidRPr="00F06A37">
        <w:rPr>
          <w:rFonts w:ascii="Times New Roman" w:hAnsi="Times New Roman"/>
          <w:sz w:val="26"/>
          <w:szCs w:val="26"/>
        </w:rPr>
        <w:t xml:space="preserve"> не соответствующую установленным требованиям, отдел возвращает заказчику с мотивированным отказом для устранения недостатков. За прошедший период 2018 года </w:t>
      </w:r>
      <w:r w:rsidRPr="00F06A37">
        <w:rPr>
          <w:rFonts w:ascii="Times New Roman" w:hAnsi="Times New Roman"/>
          <w:color w:val="000000"/>
          <w:sz w:val="26"/>
          <w:szCs w:val="26"/>
        </w:rPr>
        <w:t>возвращено 20</w:t>
      </w:r>
      <w:r w:rsidRPr="00F06A37">
        <w:rPr>
          <w:rFonts w:ascii="Times New Roman" w:hAnsi="Times New Roman"/>
          <w:sz w:val="26"/>
          <w:szCs w:val="26"/>
        </w:rPr>
        <w:t xml:space="preserve"> заявок. В муниципальных контрактах заключенных в 2018 году отсутствуют условия об авансовых платежах.</w:t>
      </w:r>
    </w:p>
    <w:p w:rsidR="00F06A37" w:rsidRPr="00F06A37" w:rsidRDefault="00F06A37" w:rsidP="00F06A37">
      <w:pPr>
        <w:autoSpaceDE w:val="0"/>
        <w:autoSpaceDN w:val="0"/>
        <w:adjustRightInd w:val="0"/>
        <w:spacing w:after="0" w:line="240" w:lineRule="auto"/>
        <w:ind w:firstLine="567"/>
        <w:jc w:val="both"/>
        <w:rPr>
          <w:rFonts w:ascii="Times New Roman" w:hAnsi="Times New Roman"/>
          <w:bCs/>
          <w:color w:val="000000"/>
          <w:sz w:val="26"/>
          <w:szCs w:val="26"/>
        </w:rPr>
      </w:pPr>
      <w:r w:rsidRPr="00F06A37">
        <w:rPr>
          <w:rFonts w:ascii="Times New Roman" w:hAnsi="Times New Roman"/>
          <w:sz w:val="26"/>
          <w:szCs w:val="26"/>
        </w:rPr>
        <w:t xml:space="preserve">За 2018 год размещено закупок всего на сумму 524 258 770 (пятьсот двадцать четыре миллиона двести пятьдесят восемь тысяч семьсот семьдесят) </w:t>
      </w:r>
      <w:r w:rsidRPr="00F06A37">
        <w:rPr>
          <w:rFonts w:ascii="Times New Roman" w:hAnsi="Times New Roman"/>
          <w:color w:val="000000"/>
          <w:sz w:val="26"/>
          <w:szCs w:val="26"/>
        </w:rPr>
        <w:t xml:space="preserve">рублей. Стоимость закупок, по которым определение поставщика (подрядчика, исполнителя) завершено составило: 484 916 785 (четыреста восемьдесят четыре миллиона девятьсот шестнадцать тысяч семьсот восемьдесят пять) рублей. Экономическая эффективность закупок составила 16 698 708 (шестнадцать миллионов шестьсот девяносто восемь тысяч семьсот восемь) </w:t>
      </w:r>
      <w:r w:rsidRPr="00F06A37">
        <w:rPr>
          <w:rFonts w:ascii="Times New Roman" w:hAnsi="Times New Roman"/>
          <w:bCs/>
          <w:color w:val="000000"/>
          <w:sz w:val="26"/>
          <w:szCs w:val="26"/>
        </w:rPr>
        <w:t>рублей или 3,3%.</w:t>
      </w:r>
    </w:p>
    <w:p w:rsidR="007A61B0" w:rsidRPr="00F06A37" w:rsidRDefault="007A61B0" w:rsidP="00172FDD">
      <w:pPr>
        <w:spacing w:after="0" w:line="240" w:lineRule="auto"/>
        <w:ind w:firstLine="567"/>
        <w:jc w:val="both"/>
        <w:rPr>
          <w:rFonts w:ascii="Times New Roman" w:hAnsi="Times New Roman"/>
          <w:sz w:val="26"/>
          <w:szCs w:val="26"/>
        </w:rPr>
      </w:pPr>
      <w:r w:rsidRPr="00F06A37">
        <w:rPr>
          <w:rFonts w:ascii="Times New Roman" w:hAnsi="Times New Roman"/>
          <w:sz w:val="26"/>
          <w:szCs w:val="26"/>
        </w:rPr>
        <w:t xml:space="preserve">МКУ «Комитет имущественных отношений Администрации города Белогорск» (далее - Комитет) в целях недопущения оказания некачественных муниципальных услуг и проявления некомпетентности муниципальными служащими при исполнении своих должностных обязанностей в декабре </w:t>
      </w:r>
      <w:r w:rsidR="00641B0F">
        <w:rPr>
          <w:rFonts w:ascii="Times New Roman" w:hAnsi="Times New Roman"/>
          <w:sz w:val="26"/>
          <w:szCs w:val="26"/>
        </w:rPr>
        <w:t>прошлого года</w:t>
      </w:r>
      <w:r w:rsidRPr="00F06A37">
        <w:rPr>
          <w:rFonts w:ascii="Times New Roman" w:hAnsi="Times New Roman"/>
          <w:sz w:val="26"/>
          <w:szCs w:val="26"/>
        </w:rPr>
        <w:t xml:space="preserve"> проведе</w:t>
      </w:r>
      <w:r w:rsidR="00641B0F">
        <w:rPr>
          <w:rFonts w:ascii="Times New Roman" w:hAnsi="Times New Roman"/>
          <w:sz w:val="26"/>
          <w:szCs w:val="26"/>
        </w:rPr>
        <w:t>на</w:t>
      </w:r>
      <w:r w:rsidRPr="00F06A37">
        <w:rPr>
          <w:rFonts w:ascii="Times New Roman" w:hAnsi="Times New Roman"/>
          <w:sz w:val="26"/>
          <w:szCs w:val="26"/>
        </w:rPr>
        <w:t xml:space="preserve"> аттестаци</w:t>
      </w:r>
      <w:r w:rsidR="00641B0F">
        <w:rPr>
          <w:rFonts w:ascii="Times New Roman" w:hAnsi="Times New Roman"/>
          <w:sz w:val="26"/>
          <w:szCs w:val="26"/>
        </w:rPr>
        <w:t>я</w:t>
      </w:r>
      <w:r w:rsidRPr="00F06A37">
        <w:rPr>
          <w:rFonts w:ascii="Times New Roman" w:hAnsi="Times New Roman"/>
          <w:sz w:val="26"/>
          <w:szCs w:val="26"/>
        </w:rPr>
        <w:t xml:space="preserve"> сотрудников, в том числе, по вопросам противодействия коррупции.</w:t>
      </w:r>
    </w:p>
    <w:p w:rsidR="007A61B0" w:rsidRPr="00F06A37" w:rsidRDefault="007A61B0" w:rsidP="009D6DE6">
      <w:pPr>
        <w:spacing w:after="0" w:line="240" w:lineRule="auto"/>
        <w:ind w:firstLine="567"/>
        <w:jc w:val="both"/>
        <w:rPr>
          <w:rFonts w:ascii="Times New Roman" w:hAnsi="Times New Roman"/>
          <w:sz w:val="26"/>
          <w:szCs w:val="26"/>
        </w:rPr>
      </w:pPr>
      <w:r w:rsidRPr="00F06A37">
        <w:rPr>
          <w:rFonts w:ascii="Times New Roman" w:hAnsi="Times New Roman"/>
          <w:sz w:val="26"/>
          <w:szCs w:val="26"/>
        </w:rPr>
        <w:t>С целью предотвращения бездействия органов местного самоуправления при обнаружении нарушений действующего законодательства регулярно проводятся мероприятия муниципального земельного и жилищного контроля, с последующей выдачей предписаний, и в случае их невыполнения, с наложением штрафов.</w:t>
      </w:r>
    </w:p>
    <w:p w:rsidR="007A61B0" w:rsidRPr="00F06A37" w:rsidRDefault="007A61B0" w:rsidP="009D6DE6">
      <w:pPr>
        <w:spacing w:after="0" w:line="240" w:lineRule="auto"/>
        <w:ind w:firstLine="567"/>
        <w:jc w:val="both"/>
        <w:rPr>
          <w:rFonts w:ascii="Times New Roman" w:hAnsi="Times New Roman"/>
          <w:sz w:val="26"/>
          <w:szCs w:val="26"/>
        </w:rPr>
      </w:pPr>
      <w:r w:rsidRPr="00F06A37">
        <w:rPr>
          <w:rFonts w:ascii="Times New Roman" w:hAnsi="Times New Roman"/>
          <w:sz w:val="26"/>
          <w:szCs w:val="26"/>
        </w:rPr>
        <w:lastRenderedPageBreak/>
        <w:t>Для предотвращения незаконного использования имущества Комитет на постоянной основа выявляет пользователей объектов недвижимости и земельных участков без оформленных правоустанавливающих документов, с последующим принуждением к оплате за фактическое использование и оформлению соответствующих документов.</w:t>
      </w:r>
    </w:p>
    <w:p w:rsidR="007A61B0" w:rsidRPr="00F06A37" w:rsidRDefault="007A61B0" w:rsidP="009D6DE6">
      <w:pPr>
        <w:spacing w:after="0" w:line="240" w:lineRule="auto"/>
        <w:ind w:firstLine="567"/>
        <w:jc w:val="both"/>
        <w:rPr>
          <w:rFonts w:ascii="Times New Roman" w:hAnsi="Times New Roman"/>
          <w:sz w:val="26"/>
          <w:szCs w:val="26"/>
        </w:rPr>
      </w:pPr>
      <w:r w:rsidRPr="00F06A37">
        <w:rPr>
          <w:rFonts w:ascii="Times New Roman" w:hAnsi="Times New Roman"/>
          <w:sz w:val="26"/>
          <w:szCs w:val="26"/>
        </w:rPr>
        <w:t>Для предотвращения непосредственного контакта граждан с муниципальными служащими, оказывающими муниципальные услуги, в Комитете организован процесс приема заявлений и выдачи документов по принципу одного окна через МФЦ.</w:t>
      </w:r>
    </w:p>
    <w:p w:rsidR="007A61B0" w:rsidRPr="00F06A37" w:rsidRDefault="007A61B0" w:rsidP="00747996">
      <w:pPr>
        <w:spacing w:after="0" w:line="240" w:lineRule="auto"/>
        <w:ind w:firstLine="567"/>
        <w:jc w:val="both"/>
        <w:rPr>
          <w:rFonts w:ascii="Times New Roman" w:hAnsi="Times New Roman"/>
          <w:sz w:val="26"/>
          <w:szCs w:val="26"/>
        </w:rPr>
      </w:pPr>
      <w:r w:rsidRPr="00F06A37">
        <w:rPr>
          <w:rFonts w:ascii="Times New Roman" w:hAnsi="Times New Roman"/>
          <w:sz w:val="26"/>
          <w:szCs w:val="26"/>
        </w:rPr>
        <w:t>Налажено оперативное взаимодействие с правоохранительными органами, органами прокуратуры и иными государственными органами по принятию мер в случае выявления фактов коррупционной направленности.</w:t>
      </w:r>
      <w:bookmarkStart w:id="0" w:name="_GoBack"/>
      <w:bookmarkEnd w:id="0"/>
    </w:p>
    <w:sectPr w:rsidR="007A61B0" w:rsidRPr="00F06A37" w:rsidSect="00891AA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30" w:rsidRDefault="00A03D30" w:rsidP="00891AAF">
      <w:pPr>
        <w:spacing w:after="0" w:line="240" w:lineRule="auto"/>
      </w:pPr>
      <w:r>
        <w:separator/>
      </w:r>
    </w:p>
  </w:endnote>
  <w:endnote w:type="continuationSeparator" w:id="0">
    <w:p w:rsidR="00A03D30" w:rsidRDefault="00A03D30" w:rsidP="0089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30" w:rsidRDefault="00A03D30" w:rsidP="00891AAF">
      <w:pPr>
        <w:spacing w:after="0" w:line="240" w:lineRule="auto"/>
      </w:pPr>
      <w:r>
        <w:separator/>
      </w:r>
    </w:p>
  </w:footnote>
  <w:footnote w:type="continuationSeparator" w:id="0">
    <w:p w:rsidR="00A03D30" w:rsidRDefault="00A03D30" w:rsidP="00891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AF" w:rsidRDefault="00891AAF">
    <w:pPr>
      <w:pStyle w:val="a6"/>
      <w:jc w:val="center"/>
    </w:pPr>
    <w:r>
      <w:fldChar w:fldCharType="begin"/>
    </w:r>
    <w:r>
      <w:instrText>PAGE   \* MERGEFORMAT</w:instrText>
    </w:r>
    <w:r>
      <w:fldChar w:fldCharType="separate"/>
    </w:r>
    <w:r>
      <w:rPr>
        <w:noProof/>
      </w:rPr>
      <w:t>6</w:t>
    </w:r>
    <w:r>
      <w:fldChar w:fldCharType="end"/>
    </w:r>
  </w:p>
  <w:p w:rsidR="00891AAF" w:rsidRDefault="00891AA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42E4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52568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C26D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BF0EA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CC5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F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BE38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C8F5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470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D807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CF9"/>
    <w:multiLevelType w:val="hybridMultilevel"/>
    <w:tmpl w:val="36500454"/>
    <w:lvl w:ilvl="0" w:tplc="44807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26405B"/>
    <w:multiLevelType w:val="hybridMultilevel"/>
    <w:tmpl w:val="4F2EE89E"/>
    <w:lvl w:ilvl="0" w:tplc="9B76739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9CB6D95"/>
    <w:multiLevelType w:val="hybridMultilevel"/>
    <w:tmpl w:val="8A6A6554"/>
    <w:lvl w:ilvl="0" w:tplc="44807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975492"/>
    <w:multiLevelType w:val="hybridMultilevel"/>
    <w:tmpl w:val="4EE638E8"/>
    <w:lvl w:ilvl="0" w:tplc="448072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E937042"/>
    <w:multiLevelType w:val="hybridMultilevel"/>
    <w:tmpl w:val="BC0809E4"/>
    <w:lvl w:ilvl="0" w:tplc="2A00BE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C9709A4"/>
    <w:multiLevelType w:val="hybridMultilevel"/>
    <w:tmpl w:val="A9D26B1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3B9"/>
    <w:rsid w:val="00011B41"/>
    <w:rsid w:val="00023A53"/>
    <w:rsid w:val="00024429"/>
    <w:rsid w:val="000254D2"/>
    <w:rsid w:val="000329B4"/>
    <w:rsid w:val="00046A19"/>
    <w:rsid w:val="00060F6E"/>
    <w:rsid w:val="000876F1"/>
    <w:rsid w:val="000A5528"/>
    <w:rsid w:val="000A686C"/>
    <w:rsid w:val="000C2D4C"/>
    <w:rsid w:val="000C6E8C"/>
    <w:rsid w:val="000D105B"/>
    <w:rsid w:val="000E0D54"/>
    <w:rsid w:val="000F04D5"/>
    <w:rsid w:val="00165858"/>
    <w:rsid w:val="001669FE"/>
    <w:rsid w:val="00172FDD"/>
    <w:rsid w:val="001941F7"/>
    <w:rsid w:val="001A245F"/>
    <w:rsid w:val="001C6E1F"/>
    <w:rsid w:val="001E6B2B"/>
    <w:rsid w:val="001F0C3B"/>
    <w:rsid w:val="001F2672"/>
    <w:rsid w:val="001F2725"/>
    <w:rsid w:val="002055AC"/>
    <w:rsid w:val="002126F1"/>
    <w:rsid w:val="00253072"/>
    <w:rsid w:val="002A700D"/>
    <w:rsid w:val="00312296"/>
    <w:rsid w:val="00345DFD"/>
    <w:rsid w:val="00363411"/>
    <w:rsid w:val="003946DA"/>
    <w:rsid w:val="003A715F"/>
    <w:rsid w:val="003A74BC"/>
    <w:rsid w:val="003C5B36"/>
    <w:rsid w:val="003D5CA1"/>
    <w:rsid w:val="003E6F76"/>
    <w:rsid w:val="003F2097"/>
    <w:rsid w:val="003F4CB7"/>
    <w:rsid w:val="004245FB"/>
    <w:rsid w:val="004371A9"/>
    <w:rsid w:val="00451C22"/>
    <w:rsid w:val="0045622A"/>
    <w:rsid w:val="004E2C38"/>
    <w:rsid w:val="005202EA"/>
    <w:rsid w:val="00532CD8"/>
    <w:rsid w:val="00533EF2"/>
    <w:rsid w:val="00536C41"/>
    <w:rsid w:val="00554F5C"/>
    <w:rsid w:val="005B3AA9"/>
    <w:rsid w:val="005F412B"/>
    <w:rsid w:val="006025BB"/>
    <w:rsid w:val="00641B0F"/>
    <w:rsid w:val="00657C85"/>
    <w:rsid w:val="00660B41"/>
    <w:rsid w:val="00690469"/>
    <w:rsid w:val="00692F1E"/>
    <w:rsid w:val="006A7518"/>
    <w:rsid w:val="006A7E4B"/>
    <w:rsid w:val="006E1605"/>
    <w:rsid w:val="006E2A78"/>
    <w:rsid w:val="00747996"/>
    <w:rsid w:val="007510A7"/>
    <w:rsid w:val="007563C2"/>
    <w:rsid w:val="00764D99"/>
    <w:rsid w:val="0078352A"/>
    <w:rsid w:val="00791E02"/>
    <w:rsid w:val="007A61B0"/>
    <w:rsid w:val="007C69E7"/>
    <w:rsid w:val="007D53BC"/>
    <w:rsid w:val="00830E40"/>
    <w:rsid w:val="00854EF3"/>
    <w:rsid w:val="0085523B"/>
    <w:rsid w:val="0085527B"/>
    <w:rsid w:val="00857C96"/>
    <w:rsid w:val="0087388A"/>
    <w:rsid w:val="00885EE5"/>
    <w:rsid w:val="00891AAF"/>
    <w:rsid w:val="00911112"/>
    <w:rsid w:val="0091635B"/>
    <w:rsid w:val="0092286F"/>
    <w:rsid w:val="00942611"/>
    <w:rsid w:val="00960E02"/>
    <w:rsid w:val="009D6DE6"/>
    <w:rsid w:val="00A03D30"/>
    <w:rsid w:val="00A115C8"/>
    <w:rsid w:val="00A1298A"/>
    <w:rsid w:val="00A14C77"/>
    <w:rsid w:val="00A33D55"/>
    <w:rsid w:val="00A403B9"/>
    <w:rsid w:val="00A60043"/>
    <w:rsid w:val="00A844B4"/>
    <w:rsid w:val="00AD6C4B"/>
    <w:rsid w:val="00AE3A07"/>
    <w:rsid w:val="00B0543E"/>
    <w:rsid w:val="00B07138"/>
    <w:rsid w:val="00B2302F"/>
    <w:rsid w:val="00B509ED"/>
    <w:rsid w:val="00B609C9"/>
    <w:rsid w:val="00B7383F"/>
    <w:rsid w:val="00BA08A9"/>
    <w:rsid w:val="00BC0846"/>
    <w:rsid w:val="00BC1747"/>
    <w:rsid w:val="00BE26FF"/>
    <w:rsid w:val="00C162C7"/>
    <w:rsid w:val="00C4179B"/>
    <w:rsid w:val="00C46B69"/>
    <w:rsid w:val="00C63F37"/>
    <w:rsid w:val="00C7487F"/>
    <w:rsid w:val="00C91CFB"/>
    <w:rsid w:val="00D1707E"/>
    <w:rsid w:val="00D61673"/>
    <w:rsid w:val="00D646C9"/>
    <w:rsid w:val="00D776D3"/>
    <w:rsid w:val="00DB7288"/>
    <w:rsid w:val="00DB7FC6"/>
    <w:rsid w:val="00DC45A1"/>
    <w:rsid w:val="00DC500B"/>
    <w:rsid w:val="00DD2602"/>
    <w:rsid w:val="00DD2E1D"/>
    <w:rsid w:val="00E23A17"/>
    <w:rsid w:val="00E45DBB"/>
    <w:rsid w:val="00E73BFE"/>
    <w:rsid w:val="00EA2321"/>
    <w:rsid w:val="00EA5214"/>
    <w:rsid w:val="00EC36C6"/>
    <w:rsid w:val="00EC6FD4"/>
    <w:rsid w:val="00EC7DC6"/>
    <w:rsid w:val="00F01D88"/>
    <w:rsid w:val="00F06A37"/>
    <w:rsid w:val="00F147F9"/>
    <w:rsid w:val="00F47CBE"/>
    <w:rsid w:val="00F50869"/>
    <w:rsid w:val="00F66F1B"/>
    <w:rsid w:val="00F70397"/>
    <w:rsid w:val="00F92E3A"/>
    <w:rsid w:val="00FA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8DA71"/>
  <w15:docId w15:val="{5A576C3E-63AE-4B75-85D2-0D8EE3C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B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3B9"/>
    <w:pPr>
      <w:spacing w:after="0" w:line="240" w:lineRule="auto"/>
      <w:ind w:left="720"/>
      <w:contextualSpacing/>
    </w:pPr>
    <w:rPr>
      <w:rFonts w:ascii="Times New Roman" w:hAnsi="Times New Roman"/>
      <w:sz w:val="20"/>
      <w:szCs w:val="20"/>
    </w:rPr>
  </w:style>
  <w:style w:type="character" w:customStyle="1" w:styleId="apple-converted-space">
    <w:name w:val="apple-converted-space"/>
    <w:uiPriority w:val="99"/>
    <w:rsid w:val="003A74BC"/>
    <w:rPr>
      <w:rFonts w:cs="Times New Roman"/>
    </w:rPr>
  </w:style>
  <w:style w:type="paragraph" w:styleId="a4">
    <w:name w:val="Balloon Text"/>
    <w:basedOn w:val="a"/>
    <w:link w:val="a5"/>
    <w:uiPriority w:val="99"/>
    <w:semiHidden/>
    <w:rsid w:val="003946D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946DA"/>
    <w:rPr>
      <w:rFonts w:ascii="Tahoma" w:hAnsi="Tahoma" w:cs="Tahoma"/>
      <w:sz w:val="16"/>
      <w:szCs w:val="16"/>
    </w:rPr>
  </w:style>
  <w:style w:type="paragraph" w:customStyle="1" w:styleId="1">
    <w:name w:val="Схема документа1"/>
    <w:basedOn w:val="a"/>
    <w:rsid w:val="007C69E7"/>
    <w:pPr>
      <w:shd w:val="clear" w:color="auto" w:fill="000080"/>
      <w:spacing w:after="0" w:line="240" w:lineRule="auto"/>
    </w:pPr>
    <w:rPr>
      <w:rFonts w:ascii="Tahoma" w:hAnsi="Tahoma"/>
      <w:sz w:val="20"/>
      <w:szCs w:val="20"/>
    </w:rPr>
  </w:style>
  <w:style w:type="paragraph" w:customStyle="1" w:styleId="10">
    <w:name w:val="Стиль1"/>
    <w:basedOn w:val="a"/>
    <w:link w:val="11"/>
    <w:qFormat/>
    <w:rsid w:val="007C69E7"/>
    <w:pPr>
      <w:autoSpaceDE w:val="0"/>
      <w:autoSpaceDN w:val="0"/>
      <w:adjustRightInd w:val="0"/>
      <w:spacing w:after="0" w:line="240" w:lineRule="auto"/>
      <w:ind w:firstLine="540"/>
      <w:jc w:val="both"/>
    </w:pPr>
    <w:rPr>
      <w:rFonts w:ascii="Times New Roman" w:eastAsia="Calibri" w:hAnsi="Times New Roman"/>
      <w:sz w:val="28"/>
      <w:szCs w:val="28"/>
      <w:lang w:val="x-none" w:eastAsia="en-US"/>
    </w:rPr>
  </w:style>
  <w:style w:type="character" w:customStyle="1" w:styleId="11">
    <w:name w:val="Стиль1 Знак"/>
    <w:link w:val="10"/>
    <w:rsid w:val="007C69E7"/>
    <w:rPr>
      <w:rFonts w:ascii="Times New Roman" w:eastAsia="Calibri" w:hAnsi="Times New Roman"/>
      <w:sz w:val="28"/>
      <w:szCs w:val="28"/>
      <w:lang w:val="x-none" w:eastAsia="en-US"/>
    </w:rPr>
  </w:style>
  <w:style w:type="paragraph" w:customStyle="1" w:styleId="ConsPlusNormal">
    <w:name w:val="ConsPlusNormal"/>
    <w:rsid w:val="007C69E7"/>
    <w:pPr>
      <w:autoSpaceDE w:val="0"/>
      <w:autoSpaceDN w:val="0"/>
      <w:adjustRightInd w:val="0"/>
    </w:pPr>
    <w:rPr>
      <w:rFonts w:ascii="Times New Roman" w:eastAsia="Calibri" w:hAnsi="Times New Roman"/>
      <w:sz w:val="28"/>
      <w:szCs w:val="28"/>
      <w:lang w:eastAsia="en-US"/>
    </w:rPr>
  </w:style>
  <w:style w:type="paragraph" w:customStyle="1" w:styleId="ConsPlusNonformat">
    <w:name w:val="ConsPlusNonformat"/>
    <w:uiPriority w:val="99"/>
    <w:rsid w:val="007C69E7"/>
    <w:pPr>
      <w:autoSpaceDE w:val="0"/>
      <w:autoSpaceDN w:val="0"/>
      <w:adjustRightInd w:val="0"/>
    </w:pPr>
    <w:rPr>
      <w:rFonts w:ascii="Courier New" w:hAnsi="Courier New" w:cs="Courier New"/>
    </w:rPr>
  </w:style>
  <w:style w:type="paragraph" w:styleId="a6">
    <w:name w:val="header"/>
    <w:basedOn w:val="a"/>
    <w:link w:val="a7"/>
    <w:uiPriority w:val="99"/>
    <w:unhideWhenUsed/>
    <w:rsid w:val="00891AAF"/>
    <w:pPr>
      <w:tabs>
        <w:tab w:val="center" w:pos="4677"/>
        <w:tab w:val="right" w:pos="9355"/>
      </w:tabs>
    </w:pPr>
  </w:style>
  <w:style w:type="character" w:customStyle="1" w:styleId="a7">
    <w:name w:val="Верхний колонтитул Знак"/>
    <w:link w:val="a6"/>
    <w:uiPriority w:val="99"/>
    <w:rsid w:val="00891AAF"/>
    <w:rPr>
      <w:sz w:val="22"/>
      <w:szCs w:val="22"/>
    </w:rPr>
  </w:style>
  <w:style w:type="paragraph" w:styleId="a8">
    <w:name w:val="footer"/>
    <w:basedOn w:val="a"/>
    <w:link w:val="a9"/>
    <w:uiPriority w:val="99"/>
    <w:unhideWhenUsed/>
    <w:rsid w:val="00891AAF"/>
    <w:pPr>
      <w:tabs>
        <w:tab w:val="center" w:pos="4677"/>
        <w:tab w:val="right" w:pos="9355"/>
      </w:tabs>
    </w:pPr>
  </w:style>
  <w:style w:type="character" w:customStyle="1" w:styleId="a9">
    <w:name w:val="Нижний колонтитул Знак"/>
    <w:link w:val="a8"/>
    <w:uiPriority w:val="99"/>
    <w:rsid w:val="00891A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2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6</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RePack by Diakov</cp:lastModifiedBy>
  <cp:revision>73</cp:revision>
  <cp:lastPrinted>2019-03-14T23:42:00Z</cp:lastPrinted>
  <dcterms:created xsi:type="dcterms:W3CDTF">2017-05-16T04:12:00Z</dcterms:created>
  <dcterms:modified xsi:type="dcterms:W3CDTF">2021-12-01T05:41:00Z</dcterms:modified>
</cp:coreProperties>
</file>