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F" w:rsidRDefault="00FD656F" w:rsidP="00A06CB7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113677267"/>
      <w:r w:rsidRPr="00FD656F">
        <w:rPr>
          <w:rFonts w:ascii="Times New Roman" w:hAnsi="Times New Roman"/>
          <w:b/>
          <w:sz w:val="28"/>
          <w:szCs w:val="28"/>
          <w:lang w:val="ru-RU"/>
        </w:rPr>
        <w:t>УТВЕРЖДЕН</w:t>
      </w:r>
    </w:p>
    <w:p w:rsidR="00FD656F" w:rsidRPr="00FD656F" w:rsidRDefault="00A71DE2" w:rsidP="00A06CB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</w:p>
    <w:p w:rsidR="00FD656F" w:rsidRPr="00FD656F" w:rsidRDefault="00FD656F" w:rsidP="00A06CB7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город Белогорск</w:t>
      </w:r>
    </w:p>
    <w:p w:rsidR="0028393F" w:rsidRPr="00FD656F" w:rsidRDefault="004D7430" w:rsidP="00A06CB7">
      <w:pPr>
        <w:spacing w:after="0" w:line="240" w:lineRule="auto"/>
        <w:ind w:left="567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08.02.2018 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D656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28393F" w:rsidRDefault="0028393F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D656F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5257D8" w:rsidRPr="00FD656F" w:rsidRDefault="005257D8" w:rsidP="003415F0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77A" w:rsidRPr="00FD656F" w:rsidRDefault="0065277A" w:rsidP="0030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393F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СТАНДАРТ </w:t>
      </w:r>
      <w:proofErr w:type="gramStart"/>
      <w:r w:rsidR="0028393F" w:rsidRPr="00FD656F">
        <w:rPr>
          <w:rFonts w:ascii="Times New Roman" w:hAnsi="Times New Roman"/>
          <w:sz w:val="28"/>
          <w:szCs w:val="28"/>
          <w:lang w:val="ru-RU"/>
        </w:rPr>
        <w:t>ВНЕШНЕГО</w:t>
      </w:r>
      <w:proofErr w:type="gramEnd"/>
      <w:r w:rsidR="0028393F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325" w:rsidRPr="00FD656F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306639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ФИНАНСОВОГО КОНТРОЛЯ</w:t>
      </w:r>
    </w:p>
    <w:p w:rsidR="00306639" w:rsidRDefault="00306639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Pr="00FD656F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306639" w:rsidRPr="00FD656F" w:rsidRDefault="00F772A8" w:rsidP="00F615CE">
      <w:pPr>
        <w:pStyle w:val="3"/>
        <w:jc w:val="center"/>
        <w:rPr>
          <w:b/>
          <w:color w:val="auto"/>
          <w:szCs w:val="28"/>
        </w:rPr>
      </w:pPr>
      <w:r w:rsidRPr="00FD656F">
        <w:rPr>
          <w:b/>
          <w:color w:val="auto"/>
          <w:szCs w:val="28"/>
        </w:rPr>
        <w:t>«</w:t>
      </w:r>
      <w:r w:rsidR="00F615CE" w:rsidRPr="00FD656F">
        <w:rPr>
          <w:b/>
          <w:color w:val="auto"/>
          <w:szCs w:val="28"/>
        </w:rPr>
        <w:t xml:space="preserve">ПОРЯДОК </w:t>
      </w:r>
      <w:r w:rsidR="003F0DB2" w:rsidRPr="00FD656F">
        <w:rPr>
          <w:b/>
          <w:color w:val="auto"/>
          <w:szCs w:val="28"/>
        </w:rPr>
        <w:t xml:space="preserve">ПРОВЕДЕНИЯ </w:t>
      </w:r>
      <w:r w:rsidR="00BC2862" w:rsidRPr="00FD656F">
        <w:rPr>
          <w:b/>
          <w:color w:val="auto"/>
          <w:szCs w:val="28"/>
        </w:rPr>
        <w:t>ВНЕШНЕЙ ПРОВЕРКИ</w:t>
      </w:r>
      <w:r w:rsidR="002C7DDE">
        <w:rPr>
          <w:b/>
          <w:color w:val="auto"/>
          <w:szCs w:val="28"/>
        </w:rPr>
        <w:t xml:space="preserve"> </w:t>
      </w:r>
      <w:r w:rsidR="00631334">
        <w:rPr>
          <w:b/>
          <w:color w:val="auto"/>
          <w:szCs w:val="28"/>
        </w:rPr>
        <w:t>ГОДОВОГО ОТЧЕТА ОБ ИСПОЛНЕНИИ</w:t>
      </w:r>
      <w:r w:rsidR="00B2056E" w:rsidRPr="00FD656F">
        <w:rPr>
          <w:b/>
          <w:color w:val="auto"/>
          <w:szCs w:val="28"/>
        </w:rPr>
        <w:t xml:space="preserve"> </w:t>
      </w:r>
      <w:r w:rsidR="00FD656F">
        <w:rPr>
          <w:b/>
          <w:color w:val="auto"/>
          <w:szCs w:val="28"/>
        </w:rPr>
        <w:t>МЕСТНОГО</w:t>
      </w:r>
      <w:r w:rsidR="00B2056E" w:rsidRPr="00FD656F">
        <w:rPr>
          <w:b/>
          <w:color w:val="auto"/>
          <w:szCs w:val="28"/>
        </w:rPr>
        <w:t xml:space="preserve"> БЮДЖЕТА</w:t>
      </w:r>
      <w:r w:rsidR="003F0DB2" w:rsidRPr="00FD656F">
        <w:rPr>
          <w:b/>
          <w:color w:val="auto"/>
          <w:szCs w:val="28"/>
        </w:rPr>
        <w:t xml:space="preserve">» 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06639" w:rsidRPr="00FD656F" w:rsidRDefault="00CC0441" w:rsidP="00CC0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(начало действия с 01.01.2018)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31BB" w:rsidRPr="00FD656F" w:rsidRDefault="006131BB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6688" w:rsidRPr="00FD656F" w:rsidRDefault="00F26688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431" w:rsidRPr="00FD656F" w:rsidRDefault="003B4431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6131BB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E851BD">
        <w:rPr>
          <w:rFonts w:ascii="Times New Roman" w:hAnsi="Times New Roman"/>
          <w:sz w:val="28"/>
          <w:szCs w:val="28"/>
          <w:lang w:val="ru-RU"/>
        </w:rPr>
        <w:t>Белогорск</w:t>
      </w:r>
    </w:p>
    <w:tbl>
      <w:tblPr>
        <w:tblW w:w="9889" w:type="dxa"/>
        <w:jc w:val="center"/>
        <w:tblLayout w:type="fixed"/>
        <w:tblLook w:val="01E0"/>
      </w:tblPr>
      <w:tblGrid>
        <w:gridCol w:w="666"/>
        <w:gridCol w:w="8802"/>
        <w:gridCol w:w="421"/>
      </w:tblGrid>
      <w:tr w:rsidR="00306639" w:rsidRPr="00FD656F" w:rsidTr="009C6E3B">
        <w:trPr>
          <w:jc w:val="center"/>
        </w:trPr>
        <w:tc>
          <w:tcPr>
            <w:tcW w:w="666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  <w:bookmarkEnd w:id="0"/>
          </w:p>
        </w:tc>
        <w:tc>
          <w:tcPr>
            <w:tcW w:w="8802" w:type="dxa"/>
            <w:vAlign w:val="center"/>
          </w:tcPr>
          <w:p w:rsidR="00306639" w:rsidRPr="00FD656F" w:rsidRDefault="00306639" w:rsidP="00673F84">
            <w:pPr>
              <w:tabs>
                <w:tab w:val="left" w:pos="465"/>
                <w:tab w:val="center" w:pos="4204"/>
              </w:tabs>
              <w:spacing w:after="0" w:line="240" w:lineRule="auto"/>
              <w:ind w:left="-6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4D13B7" w:rsidRPr="00FD656F" w:rsidRDefault="004D13B7" w:rsidP="0030663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323"/>
          <w:jc w:val="center"/>
        </w:trPr>
        <w:tc>
          <w:tcPr>
            <w:tcW w:w="666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421" w:type="dxa"/>
          </w:tcPr>
          <w:p w:rsidR="00306639" w:rsidRPr="003264E6" w:rsidRDefault="00306639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4E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E2958" w:rsidRPr="003264E6" w:rsidTr="009C6E3B">
        <w:trPr>
          <w:trHeight w:val="323"/>
          <w:jc w:val="center"/>
        </w:trPr>
        <w:tc>
          <w:tcPr>
            <w:tcW w:w="666" w:type="dxa"/>
          </w:tcPr>
          <w:p w:rsidR="006E2958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02" w:type="dxa"/>
          </w:tcPr>
          <w:p w:rsidR="006E2958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внешней проверки</w:t>
            </w:r>
          </w:p>
          <w:p w:rsidR="006E2958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:rsidR="006E2958" w:rsidRPr="003264E6" w:rsidRDefault="001777EC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6639" w:rsidRPr="00FD65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BC2862" w:rsidRPr="00FD656F" w:rsidRDefault="00F25FDF" w:rsidP="00C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Вопросы и порядок проведения внешней</w:t>
            </w:r>
            <w:r w:rsidR="001C1687"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проверки</w:t>
            </w:r>
            <w:r w:rsidR="001C16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D0FC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годового отчета об исполнении</w:t>
            </w:r>
            <w:r w:rsidR="001C1687"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C16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местного</w:t>
            </w:r>
            <w:r w:rsidR="001C1687"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бюджета</w:t>
            </w:r>
          </w:p>
        </w:tc>
        <w:tc>
          <w:tcPr>
            <w:tcW w:w="421" w:type="dxa"/>
          </w:tcPr>
          <w:p w:rsidR="00E45E74" w:rsidRPr="003264E6" w:rsidRDefault="00E45E74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639" w:rsidRPr="003264E6" w:rsidRDefault="0067372B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034C51" w:rsidRPr="003264E6" w:rsidRDefault="00034C51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306639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2" w:type="dxa"/>
          </w:tcPr>
          <w:p w:rsidR="00306639" w:rsidRPr="00FD656F" w:rsidRDefault="00306639" w:rsidP="00306639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306639" w:rsidRPr="003264E6" w:rsidRDefault="00306639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941F93" w:rsidRPr="00FD656F" w:rsidRDefault="00941F93" w:rsidP="00941F9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A406CD" w:rsidRPr="00FD656F" w:rsidRDefault="00A406CD" w:rsidP="0028393F">
      <w:pPr>
        <w:pStyle w:val="3"/>
        <w:keepNext w:val="0"/>
        <w:jc w:val="center"/>
        <w:rPr>
          <w:b/>
          <w:szCs w:val="28"/>
        </w:rPr>
      </w:pPr>
      <w:r w:rsidRPr="00FD656F">
        <w:rPr>
          <w:b/>
          <w:szCs w:val="28"/>
        </w:rPr>
        <w:lastRenderedPageBreak/>
        <w:t xml:space="preserve">1. Общие </w:t>
      </w:r>
      <w:r w:rsidR="00EB4A41" w:rsidRPr="00FD656F">
        <w:rPr>
          <w:b/>
          <w:szCs w:val="28"/>
        </w:rPr>
        <w:t>по</w:t>
      </w:r>
      <w:r w:rsidRPr="00FD656F">
        <w:rPr>
          <w:b/>
          <w:szCs w:val="28"/>
        </w:rPr>
        <w:t>ложения</w:t>
      </w:r>
    </w:p>
    <w:p w:rsidR="00A406CD" w:rsidRPr="00FD656F" w:rsidRDefault="00A406CD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1ABA" w:rsidRPr="008660C5" w:rsidRDefault="0028393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внешнего 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ого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финансового контроля «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Порядок проведения в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нешн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ей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проверк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годового отчета об исполнении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 (</w:t>
      </w:r>
      <w:r w:rsidR="00A406CD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Стандарт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предназначен для регламентации деятельности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онтрольно-счетной палаты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муниципального образования город Белогорск 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(</w:t>
      </w:r>
      <w:r w:rsidR="00365DF2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Контрольно-счетная палата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)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подготовке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заключения</w:t>
      </w:r>
      <w:r w:rsidR="00292DE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на 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годовой отчет об исполнении местного бюджета</w:t>
      </w:r>
      <w:r w:rsidR="00941F9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представленн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ый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Администрацией города Белогорск 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 соответствии с требованиями 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пункта 3.2 Решения Белогорского городского Совета народных депутатов от 26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06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14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14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130</w:t>
      </w:r>
      <w:proofErr w:type="gramEnd"/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«Об утверждении Положения </w:t>
      </w:r>
      <w:r w:rsidR="003B3A5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бюджетном процессе муниципальн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ого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образовани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город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 Белогорск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6D1AB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365DF2" w:rsidRPr="00FD656F" w:rsidRDefault="006D1ABA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Стандарт разработан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соответствии с Бюджетным кодексом Российской Федерации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- Бюджетный кодекс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, </w:t>
      </w:r>
      <w:r w:rsidR="006131BB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решением 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Белогорского городского Совета народных депутатов от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24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48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332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утверждении Положения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контрольно-счетной палате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муниципального образования город Белогорск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D3205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D3205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</w:t>
      </w:r>
      <w:r w:rsidR="00BC7F9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– Контрольно-счетная палата)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proofErr w:type="gramEnd"/>
    </w:p>
    <w:p w:rsidR="007053FA" w:rsidRPr="008660C5" w:rsidRDefault="00A406CD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разработан с учетом 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протокол от 12 мая 2012 г. № 21К (854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B3147E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7053F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D3205C" w:rsidRPr="008660C5" w:rsidRDefault="00D3205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 случае внесения изменений в документы, указанные в настоящем Стандарте (замены их </w:t>
      </w: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новыми</w:t>
      </w:r>
      <w:proofErr w:type="gramEnd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), Стандарт применяется с учетом соответствующих изменений (нового документа).</w:t>
      </w:r>
    </w:p>
    <w:p w:rsidR="005A2B60" w:rsidRPr="008660C5" w:rsidRDefault="00C05B3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Целью Стандарта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является установление общих правил,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требований и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процедур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 </w:t>
      </w:r>
      <w:r w:rsidR="00B467A5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проведению 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внешней проверки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6660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годового отчета об исполнении 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962236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F25FD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за отчетный финансовый год 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(далее – </w:t>
      </w:r>
      <w:r w:rsidR="006660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годовой отчет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E635CF" w:rsidRPr="008660C5" w:rsidRDefault="00E635C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Задачами Стандарта являются:</w:t>
      </w:r>
    </w:p>
    <w:p w:rsidR="00982393" w:rsidRPr="008660C5" w:rsidRDefault="00982393" w:rsidP="00982393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установление общих требований к организации, проведению и оформлению результатов (подготовка заключения)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 проведении внешней проверки годового отчета</w:t>
      </w:r>
      <w:r w:rsidR="00B311F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;</w:t>
      </w:r>
    </w:p>
    <w:p w:rsidR="00E635CF" w:rsidRPr="008660C5" w:rsidRDefault="00E635CF" w:rsidP="008660C5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определение </w:t>
      </w:r>
      <w:r w:rsidR="00982393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вопросов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проведения 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внешней проверки </w:t>
      </w:r>
      <w:r w:rsidR="00982393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годового отчета.</w:t>
      </w:r>
    </w:p>
    <w:p w:rsidR="00E068AA" w:rsidRPr="008660C5" w:rsidRDefault="00E068AA" w:rsidP="00E068AA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применяется сотрудниками Контрольно-счетной палаты в рамках проведения контрольного мероприятия при подготовке заключения на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годовой отчет об исполнении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местного бюджета.</w:t>
      </w:r>
    </w:p>
    <w:p w:rsidR="00E068AA" w:rsidRDefault="00E068AA" w:rsidP="00E068AA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Внесение изменений в настоящий Стандарт осуществляется на основании </w:t>
      </w:r>
      <w:r w:rsidR="000A2B4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приказа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председателя Контрольно-счетной палаты.</w:t>
      </w:r>
    </w:p>
    <w:p w:rsidR="00E068AA" w:rsidRDefault="00E068AA" w:rsidP="00E06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E068AA" w:rsidRDefault="00E068AA" w:rsidP="00E06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E068AA" w:rsidRPr="00E068AA" w:rsidRDefault="00E068AA" w:rsidP="00E06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AA34FC" w:rsidRPr="00C13426" w:rsidRDefault="00AA34FC" w:rsidP="00AA34FC">
      <w:pPr>
        <w:pStyle w:val="af2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426">
        <w:rPr>
          <w:rFonts w:ascii="Times New Roman" w:hAnsi="Times New Roman"/>
          <w:b/>
          <w:sz w:val="28"/>
          <w:szCs w:val="28"/>
          <w:lang w:val="ru-RU"/>
        </w:rPr>
        <w:lastRenderedPageBreak/>
        <w:t>Организация внешней проверки</w:t>
      </w:r>
    </w:p>
    <w:p w:rsidR="00E068AA" w:rsidRPr="008660C5" w:rsidRDefault="00E068AA" w:rsidP="00AA34FC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AE7861" w:rsidRDefault="00AE7861" w:rsidP="00AE7861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AE786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Внешняя проверка годового отчета за отчетный финансовый год осуществляется в форме экспертно-аналитического мероприятия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AE786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 проводится по месту нахождения Контрольно-счетной палаты на основании бюджетной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AE786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отчетности и иных документов, представляемых по запросам.</w:t>
      </w:r>
    </w:p>
    <w:p w:rsidR="004B50A4" w:rsidRPr="004B50A4" w:rsidRDefault="004B50A4" w:rsidP="004B50A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Годовой отчет</w:t>
      </w:r>
      <w:r w:rsidRPr="004B50A4">
        <w:rPr>
          <w:rFonts w:ascii="Times New Roman" w:hAnsi="Times New Roman"/>
          <w:sz w:val="28"/>
          <w:szCs w:val="28"/>
          <w:lang w:val="ru-RU"/>
        </w:rPr>
        <w:t xml:space="preserve"> представляется в Контрольно-счетную палату </w:t>
      </w:r>
      <w:r>
        <w:rPr>
          <w:rFonts w:ascii="Times New Roman" w:hAnsi="Times New Roman"/>
          <w:sz w:val="28"/>
          <w:szCs w:val="28"/>
          <w:lang w:val="ru-RU"/>
        </w:rPr>
        <w:t>Администрацией города Белого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рск </w:t>
      </w:r>
      <w:r w:rsidRPr="004B50A4">
        <w:rPr>
          <w:rFonts w:ascii="Times New Roman" w:hAnsi="Times New Roman"/>
          <w:sz w:val="28"/>
          <w:szCs w:val="28"/>
          <w:lang w:val="ru-RU"/>
        </w:rPr>
        <w:t>в ср</w:t>
      </w:r>
      <w:proofErr w:type="gramEnd"/>
      <w:r w:rsidRPr="004B50A4">
        <w:rPr>
          <w:rFonts w:ascii="Times New Roman" w:hAnsi="Times New Roman"/>
          <w:sz w:val="28"/>
          <w:szCs w:val="28"/>
          <w:lang w:val="ru-RU"/>
        </w:rPr>
        <w:t xml:space="preserve">ок до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4B50A4">
        <w:rPr>
          <w:rFonts w:ascii="Times New Roman" w:hAnsi="Times New Roman"/>
          <w:sz w:val="28"/>
          <w:szCs w:val="28"/>
          <w:lang w:val="ru-RU"/>
        </w:rPr>
        <w:t xml:space="preserve"> апреля текущего года и является предметом внешней проверки.</w:t>
      </w:r>
    </w:p>
    <w:p w:rsidR="004B50A4" w:rsidRDefault="004B50A4" w:rsidP="00F20B5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Внешняя проверка проводится в срок, не превышающий 30 дней</w:t>
      </w:r>
      <w:r w:rsidR="00BB36D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со дня предоставления документов в адрес Контрольно-счетной палаты.</w:t>
      </w:r>
    </w:p>
    <w:p w:rsidR="001F7101" w:rsidRPr="001F7101" w:rsidRDefault="001F7101" w:rsidP="001F7101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7101">
        <w:rPr>
          <w:rFonts w:ascii="Times New Roman" w:hAnsi="Times New Roman"/>
          <w:sz w:val="28"/>
          <w:szCs w:val="28"/>
          <w:lang w:val="ru-RU"/>
        </w:rPr>
        <w:t>Внешняя проверка годового отчета включает:</w:t>
      </w:r>
    </w:p>
    <w:p w:rsidR="001F7101" w:rsidRPr="001F7101" w:rsidRDefault="001F7101" w:rsidP="001F7101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7101">
        <w:rPr>
          <w:rFonts w:ascii="Times New Roman" w:hAnsi="Times New Roman"/>
          <w:sz w:val="28"/>
          <w:szCs w:val="28"/>
          <w:lang w:val="ru-RU"/>
        </w:rPr>
        <w:t xml:space="preserve">результаты внешней проверки бюджетной отчетности главных администраторов бюджетных средств (проводимой в соответствии со стандартом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«Порядок </w:t>
      </w: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проведения внешней проверки годовой бюджетной отчетности главных администраторов средств местного бюджета</w:t>
      </w:r>
      <w:proofErr w:type="gramEnd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Pr="001F7101">
        <w:rPr>
          <w:rFonts w:ascii="Times New Roman" w:hAnsi="Times New Roman"/>
          <w:sz w:val="28"/>
          <w:szCs w:val="28"/>
          <w:lang w:val="ru-RU"/>
        </w:rPr>
        <w:t>);</w:t>
      </w:r>
    </w:p>
    <w:p w:rsidR="001F7101" w:rsidRPr="001F7101" w:rsidRDefault="001F7101" w:rsidP="001F7101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7101">
        <w:rPr>
          <w:rFonts w:ascii="Times New Roman" w:hAnsi="Times New Roman"/>
          <w:sz w:val="28"/>
          <w:szCs w:val="28"/>
          <w:lang w:val="ru-RU"/>
        </w:rPr>
        <w:t xml:space="preserve">подготовку заключения на годовой отчет об исполнении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1F7101">
        <w:rPr>
          <w:rFonts w:ascii="Times New Roman" w:hAnsi="Times New Roman"/>
          <w:sz w:val="28"/>
          <w:szCs w:val="28"/>
          <w:lang w:val="ru-RU"/>
        </w:rPr>
        <w:t xml:space="preserve"> бюджета.</w:t>
      </w:r>
    </w:p>
    <w:p w:rsidR="00F20B54" w:rsidRDefault="00F20B54" w:rsidP="00F20B5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</w:t>
      </w:r>
      <w:r w:rsidR="00565BB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ями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внешней проверки явля</w:t>
      </w:r>
      <w:r w:rsidR="00565BB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ю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тся</w:t>
      </w:r>
      <w:r w:rsidR="00565BB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: </w:t>
      </w:r>
      <w:r w:rsidR="001F710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определение соответствия годового отчета требованиям бюджетного законодательства, 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проведение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анализ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 оценк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содержащейся в годовой бюджетной отчетности информации о</w:t>
      </w:r>
      <w:r w:rsidR="001F710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 исполнении 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решения о </w:t>
      </w:r>
      <w:r w:rsidR="001F710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</w:t>
      </w:r>
      <w:r w:rsidR="001F710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</w:t>
      </w:r>
      <w:r w:rsidR="003B111A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</w:t>
      </w:r>
      <w:r w:rsidR="001F710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 выявление возможных нарушений, недостатков и их последствий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67372B" w:rsidRPr="0067372B" w:rsidRDefault="0067372B" w:rsidP="0067372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Задачами внешней проверки годового отчета являются:</w:t>
      </w:r>
    </w:p>
    <w:p w:rsidR="0067372B" w:rsidRPr="0067372B" w:rsidRDefault="0067372B" w:rsidP="0067372B">
      <w:pPr>
        <w:pStyle w:val="af2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определение соблюдения единого порядка составления и представления годового отчета об исполнении местного бюджета, его соответствия требованиям, предъявляемым к ней Б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юджетным Кодексом Российской Федерации</w:t>
      </w: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 нормативными правовыми актами Министерства финансов Российской Федерации;</w:t>
      </w:r>
    </w:p>
    <w:p w:rsidR="0067372B" w:rsidRPr="0067372B" w:rsidRDefault="0067372B" w:rsidP="0067372B">
      <w:pPr>
        <w:pStyle w:val="af2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оценка отчетных показателей по исполнению местного бюджета на предмет определения соответствия исполненных показателей местного бюджета показателям, установленным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р</w:t>
      </w: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ешением о местном бюджете;</w:t>
      </w:r>
    </w:p>
    <w:p w:rsidR="0067372B" w:rsidRPr="0067372B" w:rsidRDefault="0067372B" w:rsidP="0067372B">
      <w:pPr>
        <w:pStyle w:val="af2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проверка достоверности и анализ исполнения местного бюджета,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 </w:t>
      </w:r>
      <w:proofErr w:type="gramStart"/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</w:t>
      </w:r>
      <w:proofErr w:type="gramEnd"/>
      <w:r w:rsidRPr="0067372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 Белогорск.</w:t>
      </w:r>
    </w:p>
    <w:p w:rsidR="00E068AA" w:rsidRDefault="00E068AA" w:rsidP="00E068AA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 подготовке заключения сотрудники Контрольно-счетной палаты руководствуются: бюджетным законодательством</w:t>
      </w:r>
      <w:r w:rsidR="00D71BF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нормативными правовыми актами, регулирующими бюджетные правоотношения, настоящим Стандартом.</w:t>
      </w:r>
    </w:p>
    <w:p w:rsidR="00F05EA5" w:rsidRDefault="0055335A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lastRenderedPageBreak/>
        <w:t>Э</w:t>
      </w:r>
      <w:r w:rsidRPr="00AE786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кспертно-аналитического мероприяти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 внешней проверки годового отчета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предусматривается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 плане работы 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Контрольно-счетной палаты 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на </w:t>
      </w:r>
      <w:r w:rsidR="00930330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соответствующий год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  <w:proofErr w:type="gramEnd"/>
    </w:p>
    <w:p w:rsidR="004952B2" w:rsidRPr="008660C5" w:rsidRDefault="004952B2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Приказом председателя Контрольно-счетной палаты о проведении внешней проверки утверждаются: срок начала проверки, срок предста</w:t>
      </w:r>
      <w:r w:rsidR="00477AFA">
        <w:rPr>
          <w:rFonts w:ascii="Times New Roman" w:hAnsi="Times New Roman"/>
          <w:color w:val="000000"/>
          <w:sz w:val="28"/>
          <w:szCs w:val="28"/>
          <w:lang w:val="ru-RU"/>
        </w:rPr>
        <w:t xml:space="preserve">вления заключения председателю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ответственных исполнителей за подготовку заключени</w:t>
      </w:r>
      <w:r w:rsidR="00477AF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0567" w:rsidRPr="00FD656F" w:rsidRDefault="00760567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A6436C" w:rsidRPr="00CF0D88" w:rsidRDefault="00CF0D88" w:rsidP="00CF0D88">
      <w:pPr>
        <w:pStyle w:val="af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page25"/>
      <w:bookmarkEnd w:id="1"/>
      <w:r w:rsidRPr="00CF0D8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и порядок проведения внешней проверки годового отчета об исполнении местного бюджета</w:t>
      </w:r>
    </w:p>
    <w:p w:rsidR="00CF0D88" w:rsidRPr="00CF0D88" w:rsidRDefault="00CF0D88" w:rsidP="00CF0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7D08" w:rsidRDefault="00DF7D08" w:rsidP="009A2360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ge29"/>
      <w:bookmarkEnd w:id="2"/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Внешняя проверка </w:t>
      </w:r>
      <w:r w:rsidR="0007531B">
        <w:rPr>
          <w:rFonts w:ascii="Times New Roman" w:hAnsi="Times New Roman"/>
          <w:color w:val="000000"/>
          <w:sz w:val="28"/>
          <w:szCs w:val="28"/>
          <w:lang w:val="ru-RU"/>
        </w:rPr>
        <w:t>годового отчета</w:t>
      </w: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включает следующие вопросы:</w:t>
      </w:r>
    </w:p>
    <w:p w:rsidR="003A6687" w:rsidRPr="003A6687" w:rsidRDefault="003A6687" w:rsidP="003A668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07531B" w:rsidRPr="003A6687" w:rsidRDefault="0007531B" w:rsidP="003A6687">
      <w:pPr>
        <w:pStyle w:val="af2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A6687">
        <w:rPr>
          <w:rFonts w:ascii="Times New Roman" w:hAnsi="Times New Roman"/>
          <w:sz w:val="28"/>
          <w:szCs w:val="28"/>
          <w:lang w:val="ru-RU"/>
        </w:rPr>
        <w:t>Проверка соответствия представленного годового отчета требованиям нормативных правовых актов по составу, содержанию, полноте заполнения отчетных форм.</w:t>
      </w:r>
    </w:p>
    <w:p w:rsidR="0007531B" w:rsidRDefault="0007531B" w:rsidP="0074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>Проверка полноты составления отчетности проводится на основании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№191н (далее Инструкция). После проверки делается вывод о наличии всех форм отчетности или отсутствии отдельных форм, полноты и правильности их заполнения.</w:t>
      </w:r>
    </w:p>
    <w:p w:rsidR="000427DE" w:rsidRPr="000427DE" w:rsidRDefault="000427DE" w:rsidP="0074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7531B" w:rsidRPr="00743AF3" w:rsidRDefault="0007531B" w:rsidP="00743AF3">
      <w:pPr>
        <w:pStyle w:val="af2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743AF3">
        <w:rPr>
          <w:rFonts w:ascii="Times New Roman" w:hAnsi="Times New Roman"/>
          <w:sz w:val="28"/>
          <w:szCs w:val="28"/>
          <w:lang w:val="ru-RU"/>
        </w:rPr>
        <w:t>Проверка представленного годового отчета на предмет достоверности показателей годового отчета.</w:t>
      </w:r>
    </w:p>
    <w:p w:rsidR="0007531B" w:rsidRPr="0007531B" w:rsidRDefault="0007531B" w:rsidP="00075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 xml:space="preserve">Проверяется соответствие плановых назначений, указанных в годовом отчете, показателям </w:t>
      </w:r>
      <w:r w:rsidR="00743AF3">
        <w:rPr>
          <w:rFonts w:ascii="Times New Roman" w:hAnsi="Times New Roman"/>
          <w:sz w:val="28"/>
          <w:szCs w:val="28"/>
          <w:lang w:val="ru-RU"/>
        </w:rPr>
        <w:t>решения о местном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бюджете на очередной год и плановый период (далее – </w:t>
      </w:r>
      <w:r w:rsidR="00743AF3">
        <w:rPr>
          <w:rFonts w:ascii="Times New Roman" w:hAnsi="Times New Roman"/>
          <w:sz w:val="28"/>
          <w:szCs w:val="28"/>
          <w:lang w:val="ru-RU"/>
        </w:rPr>
        <w:t>Решение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43AF3">
        <w:rPr>
          <w:rFonts w:ascii="Times New Roman" w:hAnsi="Times New Roman"/>
          <w:sz w:val="28"/>
          <w:szCs w:val="28"/>
          <w:lang w:val="ru-RU"/>
        </w:rPr>
        <w:t xml:space="preserve"> местном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бюджете) с учетом изменений, внесенных в ходе исполнения бюджета, и показателям сводной бюджетной росписи.</w:t>
      </w:r>
    </w:p>
    <w:p w:rsidR="0007531B" w:rsidRDefault="0007531B" w:rsidP="003C5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>Проверяется соответствие фактических показателей, указанных в годовом отчете, данным отчетности главных администраторов бюджетных средств по соответствующему бюджетному показателю (выборочно).</w:t>
      </w:r>
    </w:p>
    <w:p w:rsidR="000427DE" w:rsidRPr="000427DE" w:rsidRDefault="000427DE" w:rsidP="003C5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7531B" w:rsidRPr="0007531B" w:rsidRDefault="0007531B" w:rsidP="003C55D8">
      <w:pPr>
        <w:pStyle w:val="af2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55D8">
        <w:rPr>
          <w:rFonts w:ascii="Times New Roman" w:hAnsi="Times New Roman"/>
          <w:sz w:val="28"/>
          <w:szCs w:val="28"/>
          <w:lang w:val="ru-RU"/>
        </w:rPr>
        <w:t>Проверка и анализ выполнения плановых показателей годового отчета по доходам и источникам погашения дефицита бюджета</w:t>
      </w:r>
      <w:r w:rsidRPr="0007531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7531B" w:rsidRPr="0007531B" w:rsidRDefault="00E93317" w:rsidP="00E22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заключении о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>тражается уровень выполнения плановых показателей за отчетный период, определяется удельный вес отдельных показателей бюджетной отчетности в итоге отчетов, анализируется исполнение доходов</w:t>
      </w:r>
      <w:r w:rsidR="00C95AA9">
        <w:rPr>
          <w:rFonts w:ascii="Times New Roman" w:hAnsi="Times New Roman"/>
          <w:sz w:val="28"/>
          <w:szCs w:val="28"/>
          <w:lang w:val="ru-RU"/>
        </w:rPr>
        <w:t xml:space="preserve"> и источников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5D8">
        <w:rPr>
          <w:rFonts w:ascii="Times New Roman" w:hAnsi="Times New Roman"/>
          <w:sz w:val="28"/>
          <w:szCs w:val="28"/>
          <w:lang w:val="ru-RU"/>
        </w:rPr>
        <w:t>местного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 xml:space="preserve"> бюджета, в том числе с учетом результатов внешней проверки отчетности главных администраторов доходов</w:t>
      </w:r>
      <w:r w:rsidR="00C95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5D8">
        <w:rPr>
          <w:rFonts w:ascii="Times New Roman" w:hAnsi="Times New Roman"/>
          <w:sz w:val="28"/>
          <w:szCs w:val="28"/>
          <w:lang w:val="ru-RU"/>
        </w:rPr>
        <w:t>местного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 xml:space="preserve"> бюджета и </w:t>
      </w:r>
      <w:r w:rsidR="00C95AA9" w:rsidRPr="0007531B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</w:t>
      </w:r>
      <w:r w:rsidR="00C95AA9"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источников финансирования дефицита </w:t>
      </w:r>
      <w:r w:rsidR="00C95AA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C95AA9"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C95AA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C95AA9" w:rsidRPr="00075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>результатов проведенных контрольных и экспертно-аналитических мероприятий.</w:t>
      </w:r>
      <w:proofErr w:type="gramEnd"/>
    </w:p>
    <w:p w:rsidR="0007531B" w:rsidRPr="00E22E75" w:rsidRDefault="0007531B" w:rsidP="00E22E75">
      <w:pPr>
        <w:pStyle w:val="af2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E22E75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Проверка и анализ исполнения расходов </w:t>
      </w:r>
      <w:r w:rsidR="00E22E75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E22E75">
        <w:rPr>
          <w:rFonts w:ascii="Times New Roman" w:hAnsi="Times New Roman"/>
          <w:sz w:val="28"/>
          <w:szCs w:val="28"/>
          <w:lang w:val="ru-RU"/>
        </w:rPr>
        <w:t>бюджета.</w:t>
      </w:r>
    </w:p>
    <w:p w:rsidR="0007531B" w:rsidRDefault="0007531B" w:rsidP="00C95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22E75">
        <w:rPr>
          <w:rFonts w:ascii="Times New Roman" w:hAnsi="Times New Roman"/>
          <w:sz w:val="28"/>
          <w:szCs w:val="28"/>
          <w:lang w:val="ru-RU"/>
        </w:rPr>
        <w:t>заключении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проводится анализ исполнения расходов </w:t>
      </w:r>
      <w:r w:rsidR="00E22E75">
        <w:rPr>
          <w:rFonts w:ascii="Times New Roman" w:hAnsi="Times New Roman"/>
          <w:sz w:val="28"/>
          <w:szCs w:val="28"/>
          <w:lang w:val="ru-RU"/>
        </w:rPr>
        <w:t>местного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бюджета по данным годовой бюджетной отчетности, отражается уровень выполнения плановых показателей за отчетный период, определяется удельный вес отдельных показателей бюджетной отчетности, анализируется исполнение расходов </w:t>
      </w:r>
      <w:r w:rsidR="00E22E75">
        <w:rPr>
          <w:rFonts w:ascii="Times New Roman" w:hAnsi="Times New Roman"/>
          <w:sz w:val="28"/>
          <w:szCs w:val="28"/>
          <w:lang w:val="ru-RU"/>
        </w:rPr>
        <w:t>местного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бюджета с учетом внешней </w:t>
      </w:r>
      <w:proofErr w:type="gramStart"/>
      <w:r w:rsidRPr="0007531B">
        <w:rPr>
          <w:rFonts w:ascii="Times New Roman" w:hAnsi="Times New Roman"/>
          <w:sz w:val="28"/>
          <w:szCs w:val="28"/>
          <w:lang w:val="ru-RU"/>
        </w:rPr>
        <w:t xml:space="preserve">проверки отчетности главных </w:t>
      </w:r>
      <w:r w:rsidR="00D71BF1">
        <w:rPr>
          <w:rFonts w:ascii="Times New Roman" w:hAnsi="Times New Roman"/>
          <w:sz w:val="28"/>
          <w:szCs w:val="28"/>
          <w:lang w:val="ru-RU"/>
        </w:rPr>
        <w:t>распорядителей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D71BF1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proofErr w:type="gramEnd"/>
      <w:r w:rsidRPr="0007531B">
        <w:rPr>
          <w:rFonts w:ascii="Times New Roman" w:hAnsi="Times New Roman"/>
          <w:sz w:val="28"/>
          <w:szCs w:val="28"/>
          <w:lang w:val="ru-RU"/>
        </w:rPr>
        <w:t>.</w:t>
      </w:r>
    </w:p>
    <w:p w:rsidR="000427DE" w:rsidRPr="000427DE" w:rsidRDefault="000427DE" w:rsidP="00C95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7531B" w:rsidRPr="00E04636" w:rsidRDefault="0007531B" w:rsidP="00C95AA9">
      <w:pPr>
        <w:pStyle w:val="af2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E04636">
        <w:rPr>
          <w:rFonts w:ascii="Times New Roman" w:hAnsi="Times New Roman"/>
          <w:sz w:val="28"/>
          <w:szCs w:val="28"/>
          <w:lang w:val="ru-RU"/>
        </w:rPr>
        <w:t>Проверка и анализ отдельных форм годового отчета:</w:t>
      </w:r>
    </w:p>
    <w:p w:rsidR="00C95AA9" w:rsidRDefault="00C95AA9" w:rsidP="00C95AA9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5AA9">
        <w:rPr>
          <w:rFonts w:ascii="Times New Roman" w:hAnsi="Times New Roman"/>
          <w:sz w:val="28"/>
          <w:szCs w:val="28"/>
          <w:lang w:val="ru-RU"/>
        </w:rPr>
        <w:t>форма 05033</w:t>
      </w:r>
      <w:r>
        <w:rPr>
          <w:rFonts w:ascii="Times New Roman" w:hAnsi="Times New Roman"/>
          <w:sz w:val="28"/>
          <w:szCs w:val="28"/>
          <w:lang w:val="ru-RU"/>
        </w:rPr>
        <w:t>17 «</w:t>
      </w:r>
      <w:r w:rsidRPr="00C95AA9">
        <w:rPr>
          <w:rFonts w:ascii="Times New Roman" w:hAnsi="Times New Roman"/>
          <w:sz w:val="28"/>
          <w:szCs w:val="28"/>
          <w:lang w:val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AE1566">
        <w:rPr>
          <w:rFonts w:ascii="Times New Roman" w:hAnsi="Times New Roman"/>
          <w:sz w:val="28"/>
          <w:szCs w:val="28"/>
          <w:lang w:val="ru-RU"/>
        </w:rPr>
        <w:t>.</w:t>
      </w:r>
    </w:p>
    <w:p w:rsidR="00AE1566" w:rsidRDefault="00AE1566" w:rsidP="00AE1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На основании показателей формы</w:t>
      </w:r>
      <w:r>
        <w:rPr>
          <w:rFonts w:ascii="Times New Roman" w:hAnsi="Times New Roman"/>
          <w:sz w:val="28"/>
          <w:szCs w:val="28"/>
          <w:lang w:val="ru-RU"/>
        </w:rPr>
        <w:t xml:space="preserve"> в 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отражается уровень выполнения плановых</w:t>
      </w:r>
      <w:r>
        <w:rPr>
          <w:rFonts w:ascii="Times New Roman" w:hAnsi="Times New Roman"/>
          <w:sz w:val="28"/>
          <w:szCs w:val="28"/>
          <w:lang w:val="ru-RU"/>
        </w:rPr>
        <w:t xml:space="preserve"> (прогнозных) </w:t>
      </w:r>
      <w:r w:rsidRPr="00FD656F">
        <w:rPr>
          <w:rFonts w:ascii="Times New Roman" w:hAnsi="Times New Roman"/>
          <w:sz w:val="28"/>
          <w:szCs w:val="28"/>
          <w:lang w:val="ru-RU"/>
        </w:rPr>
        <w:t>показателей за отчет</w:t>
      </w:r>
      <w:r>
        <w:rPr>
          <w:rFonts w:ascii="Times New Roman" w:hAnsi="Times New Roman"/>
          <w:sz w:val="28"/>
          <w:szCs w:val="28"/>
          <w:lang w:val="ru-RU"/>
        </w:rPr>
        <w:t xml:space="preserve">ный период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в суммовом и процентном </w:t>
      </w:r>
      <w:r>
        <w:rPr>
          <w:rFonts w:ascii="Times New Roman" w:hAnsi="Times New Roman"/>
          <w:sz w:val="28"/>
          <w:szCs w:val="28"/>
          <w:lang w:val="ru-RU"/>
        </w:rPr>
        <w:t>выражении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, определяется удельный вес </w:t>
      </w:r>
      <w:r>
        <w:rPr>
          <w:rFonts w:ascii="Times New Roman" w:hAnsi="Times New Roman"/>
          <w:sz w:val="28"/>
          <w:szCs w:val="28"/>
          <w:lang w:val="ru-RU"/>
        </w:rPr>
        <w:t xml:space="preserve">отдельных показателей </w:t>
      </w:r>
      <w:r w:rsidRPr="00FD656F">
        <w:rPr>
          <w:rFonts w:ascii="Times New Roman" w:hAnsi="Times New Roman"/>
          <w:sz w:val="28"/>
          <w:szCs w:val="28"/>
          <w:lang w:val="ru-RU"/>
        </w:rPr>
        <w:t>по отношению к итогов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/>
        </w:rPr>
        <w:t>ям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Приводится краткая характеристика доходов, расходов и </w:t>
      </w:r>
      <w:r w:rsidRPr="00FD656F">
        <w:rPr>
          <w:rFonts w:ascii="Times New Roman" w:hAnsi="Times New Roman"/>
          <w:sz w:val="28"/>
          <w:szCs w:val="28"/>
          <w:lang w:val="ru-RU"/>
        </w:rPr>
        <w:t>источник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финансирования дефицита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D656F">
        <w:rPr>
          <w:rFonts w:ascii="Times New Roman" w:hAnsi="Times New Roman"/>
          <w:sz w:val="28"/>
          <w:szCs w:val="28"/>
          <w:lang w:val="ru-RU"/>
        </w:rPr>
        <w:t>бюджета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Отражается информация о (не</w:t>
      </w:r>
      <w:proofErr w:type="gramStart"/>
      <w:r w:rsidRPr="00FD656F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Pr="00FD656F">
        <w:rPr>
          <w:rFonts w:ascii="Times New Roman" w:hAnsi="Times New Roman"/>
          <w:sz w:val="28"/>
          <w:szCs w:val="28"/>
          <w:lang w:val="ru-RU"/>
        </w:rPr>
        <w:t>оответствии показателей ф</w:t>
      </w:r>
      <w:r>
        <w:rPr>
          <w:rFonts w:ascii="Times New Roman" w:hAnsi="Times New Roman"/>
          <w:sz w:val="28"/>
          <w:szCs w:val="28"/>
          <w:lang w:val="ru-RU"/>
        </w:rPr>
        <w:t>ормы 0503317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данным </w:t>
      </w:r>
      <w:r>
        <w:rPr>
          <w:rFonts w:ascii="Times New Roman" w:hAnsi="Times New Roman"/>
          <w:sz w:val="28"/>
          <w:szCs w:val="28"/>
          <w:lang w:val="ru-RU"/>
        </w:rPr>
        <w:t xml:space="preserve">формы 0503152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E1566">
        <w:rPr>
          <w:rFonts w:ascii="Times New Roman" w:hAnsi="Times New Roman"/>
          <w:color w:val="000000"/>
          <w:sz w:val="28"/>
          <w:szCs w:val="28"/>
          <w:lang w:val="ru-RU"/>
        </w:rPr>
        <w:t>Консолидированного отчета о кассовых поступлениях и выбытиях»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предоставляемой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Управлением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Федерального казначейства по Амурской области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1566" w:rsidRDefault="00AE1566" w:rsidP="00AE1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 проверки необходимо провести анализ объемов неисполненных в отчетном году назначений, н</w:t>
      </w:r>
      <w:r w:rsidRPr="00FD656F">
        <w:rPr>
          <w:rFonts w:ascii="Times New Roman" w:hAnsi="Times New Roman"/>
          <w:sz w:val="28"/>
          <w:szCs w:val="28"/>
          <w:lang w:val="ru-RU"/>
        </w:rPr>
        <w:t>а основании данных текстовой части раздела 3 «Анализ отчета об исполнении бюджета субъектом бюджетной отчетности» ф</w:t>
      </w:r>
      <w:r>
        <w:rPr>
          <w:rFonts w:ascii="Times New Roman" w:hAnsi="Times New Roman"/>
          <w:sz w:val="28"/>
          <w:szCs w:val="28"/>
          <w:lang w:val="ru-RU"/>
        </w:rPr>
        <w:t>орм</w:t>
      </w:r>
      <w:r w:rsidR="00D71BF1">
        <w:rPr>
          <w:rFonts w:ascii="Times New Roman" w:hAnsi="Times New Roman"/>
          <w:sz w:val="28"/>
          <w:szCs w:val="28"/>
          <w:lang w:val="ru-RU"/>
        </w:rPr>
        <w:t>ы</w:t>
      </w:r>
      <w:r w:rsidRPr="00FD656F">
        <w:rPr>
          <w:rFonts w:ascii="Times New Roman" w:hAnsi="Times New Roman"/>
          <w:sz w:val="28"/>
          <w:szCs w:val="28"/>
          <w:lang w:val="ru-RU"/>
        </w:rPr>
        <w:t> 0503</w:t>
      </w:r>
      <w:r w:rsidR="00503C4E">
        <w:rPr>
          <w:rFonts w:ascii="Times New Roman" w:hAnsi="Times New Roman"/>
          <w:sz w:val="28"/>
          <w:szCs w:val="28"/>
          <w:lang w:val="ru-RU"/>
        </w:rPr>
        <w:t>3</w:t>
      </w:r>
      <w:r w:rsidRPr="00FD656F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по необходимости отражаются причины отклонения сумм неисполненных назначений. </w:t>
      </w:r>
      <w:r>
        <w:rPr>
          <w:rFonts w:ascii="Times New Roman" w:hAnsi="Times New Roman"/>
          <w:sz w:val="28"/>
          <w:szCs w:val="28"/>
          <w:lang w:val="ru-RU"/>
        </w:rPr>
        <w:t>Следует провести анализ соответствия показателей формы 0503</w:t>
      </w:r>
      <w:r w:rsidR="00503C4E">
        <w:rPr>
          <w:rFonts w:ascii="Times New Roman" w:hAnsi="Times New Roman"/>
          <w:sz w:val="28"/>
          <w:szCs w:val="28"/>
          <w:lang w:val="ru-RU"/>
        </w:rPr>
        <w:t xml:space="preserve">317 </w:t>
      </w:r>
      <w:r>
        <w:rPr>
          <w:rFonts w:ascii="Times New Roman" w:hAnsi="Times New Roman"/>
          <w:sz w:val="28"/>
          <w:szCs w:val="28"/>
          <w:lang w:val="ru-RU"/>
        </w:rPr>
        <w:t>показателям, отраженным в форме 0503</w:t>
      </w:r>
      <w:r w:rsidR="00503C4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64 «Сведения об исполнении </w:t>
      </w:r>
      <w:r w:rsidR="00503C4E">
        <w:rPr>
          <w:rFonts w:ascii="Times New Roman" w:hAnsi="Times New Roman"/>
          <w:sz w:val="28"/>
          <w:szCs w:val="28"/>
          <w:lang w:val="ru-RU"/>
        </w:rPr>
        <w:t>консолидированного бюджета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07531B" w:rsidRPr="00C95AA9" w:rsidRDefault="0007531B" w:rsidP="00C95AA9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95AA9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C95AA9">
        <w:rPr>
          <w:rFonts w:ascii="Times New Roman" w:hAnsi="Times New Roman"/>
          <w:sz w:val="28"/>
          <w:szCs w:val="28"/>
          <w:lang w:val="ru-RU"/>
        </w:rPr>
        <w:t>орма 0503320</w:t>
      </w:r>
      <w:r w:rsidR="00C95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5AA9">
        <w:rPr>
          <w:rFonts w:ascii="Times New Roman" w:hAnsi="Times New Roman"/>
          <w:sz w:val="28"/>
          <w:szCs w:val="28"/>
          <w:lang w:val="ru-RU"/>
        </w:rPr>
        <w:t xml:space="preserve">«Баланс исполнения консолидированного бюджета субъекта Российской Федерации и бюджета территориального государственного внебюджетного фонда». </w:t>
      </w:r>
    </w:p>
    <w:p w:rsidR="002968C7" w:rsidRDefault="0007531B" w:rsidP="0029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531B">
        <w:rPr>
          <w:rFonts w:ascii="Times New Roman" w:hAnsi="Times New Roman"/>
          <w:sz w:val="28"/>
          <w:szCs w:val="28"/>
          <w:lang w:val="ru-RU"/>
        </w:rPr>
        <w:t xml:space="preserve">На основе баланса исполнения бюджета оцениваются </w:t>
      </w:r>
      <w:r w:rsidR="00277C03" w:rsidRPr="00277C03">
        <w:rPr>
          <w:rFonts w:ascii="Times New Roman" w:hAnsi="Times New Roman"/>
          <w:sz w:val="28"/>
          <w:szCs w:val="28"/>
          <w:lang w:val="ru-RU"/>
        </w:rPr>
        <w:t>данные о стоимости активов и обязательств, финансовом результате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0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 на первый</w:t>
      </w:r>
      <w:r w:rsidR="00277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и последний день отчетного периода по счетам бюджетного учета, а также проводится проверка </w:t>
      </w:r>
      <w:proofErr w:type="spellStart"/>
      <w:r w:rsidRPr="0007531B">
        <w:rPr>
          <w:rFonts w:ascii="Times New Roman" w:hAnsi="Times New Roman"/>
          <w:sz w:val="28"/>
          <w:szCs w:val="28"/>
          <w:lang w:val="ru-RU"/>
        </w:rPr>
        <w:t>взаимоувязки</w:t>
      </w:r>
      <w:proofErr w:type="spellEnd"/>
      <w:r w:rsidRPr="0007531B">
        <w:rPr>
          <w:rFonts w:ascii="Times New Roman" w:hAnsi="Times New Roman"/>
          <w:sz w:val="28"/>
          <w:szCs w:val="28"/>
          <w:lang w:val="ru-RU"/>
        </w:rPr>
        <w:t xml:space="preserve"> данных баланса с другими формами отчета</w:t>
      </w:r>
      <w:r w:rsidR="00277C03">
        <w:rPr>
          <w:rFonts w:ascii="Times New Roman" w:hAnsi="Times New Roman"/>
          <w:sz w:val="28"/>
          <w:szCs w:val="28"/>
          <w:lang w:val="ru-RU"/>
        </w:rPr>
        <w:t>:</w:t>
      </w:r>
      <w:r w:rsidR="007E1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CB0" w:rsidRPr="009C0CB0">
        <w:rPr>
          <w:rFonts w:ascii="Times New Roman" w:hAnsi="Times New Roman"/>
          <w:sz w:val="28"/>
          <w:szCs w:val="28"/>
          <w:lang w:val="ru-RU"/>
        </w:rPr>
        <w:t>форм</w:t>
      </w:r>
      <w:r w:rsidR="009C0CB0">
        <w:rPr>
          <w:rFonts w:ascii="Times New Roman" w:hAnsi="Times New Roman"/>
          <w:sz w:val="28"/>
          <w:szCs w:val="28"/>
          <w:lang w:val="ru-RU"/>
        </w:rPr>
        <w:t>а</w:t>
      </w:r>
      <w:r w:rsidR="009C0CB0" w:rsidRPr="009C0CB0">
        <w:rPr>
          <w:rFonts w:ascii="Times New Roman" w:hAnsi="Times New Roman"/>
          <w:sz w:val="28"/>
          <w:szCs w:val="28"/>
          <w:lang w:val="ru-RU"/>
        </w:rPr>
        <w:t xml:space="preserve"> 0503</w:t>
      </w:r>
      <w:r w:rsidR="009C0CB0">
        <w:rPr>
          <w:rFonts w:ascii="Times New Roman" w:hAnsi="Times New Roman"/>
          <w:sz w:val="28"/>
          <w:szCs w:val="28"/>
          <w:lang w:val="ru-RU"/>
        </w:rPr>
        <w:t>3</w:t>
      </w:r>
      <w:r w:rsidR="009C0CB0" w:rsidRPr="009C0CB0">
        <w:rPr>
          <w:rFonts w:ascii="Times New Roman" w:hAnsi="Times New Roman"/>
          <w:sz w:val="28"/>
          <w:szCs w:val="28"/>
          <w:lang w:val="ru-RU"/>
        </w:rPr>
        <w:t>68</w:t>
      </w:r>
      <w:r w:rsidR="009C0C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CB0" w:rsidRPr="004C3AD1">
        <w:rPr>
          <w:rFonts w:ascii="Times New Roman" w:hAnsi="Times New Roman"/>
          <w:sz w:val="28"/>
          <w:szCs w:val="28"/>
          <w:lang w:val="ru-RU"/>
        </w:rPr>
        <w:t>«Сведения о движении нефинансовых активов консолидированного бюджета»</w:t>
      </w:r>
      <w:r w:rsidR="009C0CB0">
        <w:rPr>
          <w:rFonts w:ascii="Times New Roman" w:hAnsi="Times New Roman"/>
          <w:sz w:val="28"/>
          <w:szCs w:val="28"/>
          <w:lang w:val="ru-RU"/>
        </w:rPr>
        <w:t>,</w:t>
      </w:r>
      <w:r w:rsidR="004A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FED" w:rsidRPr="004A4FED">
        <w:rPr>
          <w:rFonts w:ascii="Times New Roman" w:hAnsi="Times New Roman"/>
          <w:sz w:val="28"/>
          <w:szCs w:val="28"/>
          <w:lang w:val="ru-RU"/>
        </w:rPr>
        <w:t>форма 0503369</w:t>
      </w:r>
      <w:r w:rsidR="004A4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C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8C7" w:rsidRPr="004A4FED">
        <w:rPr>
          <w:rFonts w:ascii="Times New Roman" w:hAnsi="Times New Roman"/>
          <w:sz w:val="28"/>
          <w:szCs w:val="28"/>
          <w:lang w:val="ru-RU"/>
        </w:rPr>
        <w:t>«Сведения по дебиторской и кредиторской задолженности»</w:t>
      </w:r>
      <w:r w:rsidR="002968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E1D5A" w:rsidRPr="00E04636">
        <w:rPr>
          <w:rFonts w:ascii="Times New Roman" w:hAnsi="Times New Roman"/>
          <w:sz w:val="28"/>
          <w:szCs w:val="28"/>
          <w:lang w:val="ru-RU"/>
        </w:rPr>
        <w:t>форма 0503371 «Сведения о финансовых</w:t>
      </w:r>
      <w:proofErr w:type="gramEnd"/>
      <w:r w:rsidR="007E1D5A" w:rsidRPr="00E046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E1D5A" w:rsidRPr="00E04636">
        <w:rPr>
          <w:rFonts w:ascii="Times New Roman" w:hAnsi="Times New Roman"/>
          <w:sz w:val="28"/>
          <w:szCs w:val="28"/>
          <w:lang w:val="ru-RU"/>
        </w:rPr>
        <w:t>вложениях</w:t>
      </w:r>
      <w:proofErr w:type="gramEnd"/>
      <w:r w:rsidR="007E1D5A" w:rsidRPr="00E04636">
        <w:rPr>
          <w:rFonts w:ascii="Times New Roman" w:hAnsi="Times New Roman"/>
          <w:sz w:val="28"/>
          <w:szCs w:val="28"/>
          <w:lang w:val="ru-RU"/>
        </w:rPr>
        <w:t>», форма 0503373 «Сведения об изменении остатков валюты баланса консолидированного бюджета»</w:t>
      </w:r>
      <w:r w:rsidR="004C3AD1" w:rsidRPr="00E04636">
        <w:rPr>
          <w:rFonts w:ascii="Times New Roman" w:hAnsi="Times New Roman"/>
          <w:sz w:val="28"/>
          <w:szCs w:val="28"/>
          <w:lang w:val="ru-RU"/>
        </w:rPr>
        <w:t>.</w:t>
      </w:r>
      <w:r w:rsidR="004C3AD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C3AD1" w:rsidRDefault="004C3AD1" w:rsidP="002968C7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4C3AD1">
        <w:rPr>
          <w:rFonts w:ascii="Times New Roman" w:hAnsi="Times New Roman"/>
          <w:sz w:val="28"/>
          <w:szCs w:val="28"/>
          <w:lang w:val="ru-RU"/>
        </w:rPr>
        <w:t>0503368 «Сведения о движении нефинансовых активов консолидированного бюджета»</w:t>
      </w:r>
      <w:r w:rsidR="009C0CB0">
        <w:rPr>
          <w:rFonts w:ascii="Times New Roman" w:hAnsi="Times New Roman"/>
          <w:sz w:val="28"/>
          <w:szCs w:val="28"/>
          <w:lang w:val="ru-RU"/>
        </w:rPr>
        <w:t>.</w:t>
      </w:r>
    </w:p>
    <w:p w:rsidR="004A4FED" w:rsidRDefault="009C0CB0" w:rsidP="004A4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0CB0">
        <w:rPr>
          <w:rFonts w:ascii="Times New Roman" w:hAnsi="Times New Roman"/>
          <w:sz w:val="28"/>
          <w:szCs w:val="28"/>
          <w:lang w:val="ru-RU"/>
        </w:rPr>
        <w:lastRenderedPageBreak/>
        <w:t>На основании показателей, отраженных в форме 0503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C0CB0">
        <w:rPr>
          <w:rFonts w:ascii="Times New Roman" w:hAnsi="Times New Roman"/>
          <w:sz w:val="28"/>
          <w:szCs w:val="28"/>
          <w:lang w:val="ru-RU"/>
        </w:rPr>
        <w:t>68 дается краткая характеристика активов с учетом произошедших за отчетный период изменений. Следует обратить внимание на то, что в случае существенного изменения активов в отчетном периоде соответствующие пояснения должны быть изложены в разделе 4 текстовой части пояснительной записки.</w:t>
      </w:r>
    </w:p>
    <w:p w:rsidR="004A4FED" w:rsidRDefault="004A4FED" w:rsidP="004A4FED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4FED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4A4FED">
        <w:rPr>
          <w:rFonts w:ascii="Times New Roman" w:hAnsi="Times New Roman"/>
          <w:sz w:val="28"/>
          <w:szCs w:val="28"/>
          <w:lang w:val="ru-RU"/>
        </w:rPr>
        <w:t>орма 0503369 «Сведения по дебиторской и кредиторской задолженности»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F36D5" w:rsidRPr="009F36D5" w:rsidRDefault="009F36D5" w:rsidP="009F3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6D5">
        <w:rPr>
          <w:rFonts w:ascii="Times New Roman" w:hAnsi="Times New Roman"/>
          <w:sz w:val="28"/>
          <w:szCs w:val="28"/>
          <w:lang w:val="ru-RU"/>
        </w:rPr>
        <w:t>Анализ дебиторской и кредиторской задолженности на начало и конец отчетного периода проводится на основании показателей формы 0503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F36D5">
        <w:rPr>
          <w:rFonts w:ascii="Times New Roman" w:hAnsi="Times New Roman"/>
          <w:sz w:val="28"/>
          <w:szCs w:val="28"/>
          <w:lang w:val="ru-RU"/>
        </w:rPr>
        <w:t>69 в разрезе счетов бюджетного учета, в том числе отражается долгосрочная и (или) просроченная задолженность, обоснованность ее (не</w:t>
      </w:r>
      <w:proofErr w:type="gramStart"/>
      <w:r w:rsidRPr="009F36D5">
        <w:rPr>
          <w:rFonts w:ascii="Times New Roman" w:hAnsi="Times New Roman"/>
          <w:sz w:val="28"/>
          <w:szCs w:val="28"/>
          <w:lang w:val="ru-RU"/>
        </w:rPr>
        <w:t>)о</w:t>
      </w:r>
      <w:proofErr w:type="gramEnd"/>
      <w:r w:rsidRPr="009F36D5">
        <w:rPr>
          <w:rFonts w:ascii="Times New Roman" w:hAnsi="Times New Roman"/>
          <w:sz w:val="28"/>
          <w:szCs w:val="28"/>
          <w:lang w:val="ru-RU"/>
        </w:rPr>
        <w:t xml:space="preserve">тражения, причины образования, делается оценка состояния кредиторской и дебиторской задолженности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9F36D5">
        <w:rPr>
          <w:rFonts w:ascii="Times New Roman" w:hAnsi="Times New Roman"/>
          <w:sz w:val="28"/>
          <w:szCs w:val="28"/>
          <w:lang w:val="ru-RU"/>
        </w:rPr>
        <w:t>. При необходимости проводится анализ в динамике за ряд лет.</w:t>
      </w:r>
    </w:p>
    <w:p w:rsidR="009F36D5" w:rsidRPr="009F36D5" w:rsidRDefault="009F36D5" w:rsidP="009F36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6D5">
        <w:rPr>
          <w:rFonts w:ascii="Times New Roman" w:hAnsi="Times New Roman"/>
          <w:sz w:val="28"/>
          <w:szCs w:val="28"/>
          <w:lang w:val="ru-RU"/>
        </w:rPr>
        <w:t>Проводится сверка показателей по дебиторской и кредиторской задолженности на начало отчетного периода бюджетной отчетности за отчетный год аналогичным показателям бюджетной отчетности на конец отчетного периода бюджетной отчетности за предшествующий год. В случае расхождения указанных показателей проводится проверка на предмет отражения в текстовой части пояснительной записки причин и обоснований установленных расхождений.</w:t>
      </w:r>
    </w:p>
    <w:p w:rsidR="0007531B" w:rsidRPr="0003202A" w:rsidRDefault="0007531B" w:rsidP="0003202A">
      <w:pPr>
        <w:pStyle w:val="af2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02A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03202A">
        <w:rPr>
          <w:rFonts w:ascii="Times New Roman" w:hAnsi="Times New Roman"/>
          <w:sz w:val="28"/>
          <w:szCs w:val="28"/>
          <w:lang w:val="ru-RU"/>
        </w:rPr>
        <w:t>орма 0503361 «</w:t>
      </w:r>
      <w:r w:rsidR="006E213B" w:rsidRPr="006E213B">
        <w:rPr>
          <w:rFonts w:ascii="Times New Roman" w:hAnsi="Times New Roman"/>
          <w:sz w:val="28"/>
          <w:szCs w:val="28"/>
          <w:lang w:val="ru-RU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</w:r>
      <w:r w:rsidRPr="0003202A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62A62" w:rsidRDefault="0007531B" w:rsidP="000753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ab/>
      </w:r>
      <w:r w:rsidRPr="0007531B">
        <w:rPr>
          <w:rFonts w:ascii="Times New Roman" w:hAnsi="Times New Roman"/>
          <w:sz w:val="28"/>
          <w:szCs w:val="28"/>
          <w:lang w:val="ru-RU"/>
        </w:rPr>
        <w:tab/>
        <w:t xml:space="preserve">Проверка проводится на основании данных проверок годовой бюджетной отчетности главных администраторов бюджетных средств </w:t>
      </w:r>
      <w:r w:rsidRPr="0007531B">
        <w:rPr>
          <w:rFonts w:ascii="Times New Roman" w:hAnsi="Times New Roman"/>
          <w:sz w:val="28"/>
          <w:szCs w:val="28"/>
          <w:lang w:val="ru-RU"/>
        </w:rPr>
        <w:br/>
        <w:t xml:space="preserve">за отчетный период путем суммирования показателей форм, представленных, </w:t>
      </w:r>
      <w:r w:rsidR="00413A81" w:rsidRPr="0007531B">
        <w:rPr>
          <w:rFonts w:ascii="Times New Roman" w:hAnsi="Times New Roman"/>
          <w:sz w:val="28"/>
          <w:szCs w:val="28"/>
          <w:lang w:val="ru-RU"/>
        </w:rPr>
        <w:t>главны</w:t>
      </w:r>
      <w:r w:rsidR="00413A81">
        <w:rPr>
          <w:rFonts w:ascii="Times New Roman" w:hAnsi="Times New Roman"/>
          <w:sz w:val="28"/>
          <w:szCs w:val="28"/>
          <w:lang w:val="ru-RU"/>
        </w:rPr>
        <w:t>ми</w:t>
      </w:r>
      <w:r w:rsidR="00413A81" w:rsidRPr="0007531B">
        <w:rPr>
          <w:rFonts w:ascii="Times New Roman" w:hAnsi="Times New Roman"/>
          <w:sz w:val="28"/>
          <w:szCs w:val="28"/>
          <w:lang w:val="ru-RU"/>
        </w:rPr>
        <w:t xml:space="preserve"> администратор</w:t>
      </w:r>
      <w:r w:rsidR="00413A81">
        <w:rPr>
          <w:rFonts w:ascii="Times New Roman" w:hAnsi="Times New Roman"/>
          <w:sz w:val="28"/>
          <w:szCs w:val="28"/>
          <w:lang w:val="ru-RU"/>
        </w:rPr>
        <w:t>ами</w:t>
      </w:r>
      <w:r w:rsidR="00413A81" w:rsidRPr="0007531B">
        <w:rPr>
          <w:rFonts w:ascii="Times New Roman" w:hAnsi="Times New Roman"/>
          <w:sz w:val="28"/>
          <w:szCs w:val="28"/>
          <w:lang w:val="ru-RU"/>
        </w:rPr>
        <w:t xml:space="preserve"> бюджетных средств </w:t>
      </w:r>
      <w:r w:rsidRPr="0007531B">
        <w:rPr>
          <w:rFonts w:ascii="Times New Roman" w:hAnsi="Times New Roman"/>
          <w:sz w:val="28"/>
          <w:szCs w:val="28"/>
          <w:lang w:val="ru-RU"/>
        </w:rPr>
        <w:t>и сопоставлении полученного результата с формой 0503361</w:t>
      </w:r>
      <w:r w:rsidR="00413A81">
        <w:rPr>
          <w:rFonts w:ascii="Times New Roman" w:hAnsi="Times New Roman"/>
          <w:sz w:val="28"/>
          <w:szCs w:val="28"/>
          <w:lang w:val="ru-RU"/>
        </w:rPr>
        <w:t>. В заключении дается</w:t>
      </w:r>
      <w:r w:rsidR="00413A81" w:rsidRPr="00FD656F">
        <w:rPr>
          <w:rFonts w:ascii="Times New Roman" w:hAnsi="Times New Roman"/>
          <w:sz w:val="28"/>
          <w:szCs w:val="28"/>
          <w:lang w:val="ru-RU"/>
        </w:rPr>
        <w:t xml:space="preserve"> анализ изменения количества </w:t>
      </w:r>
      <w:r w:rsidR="00413A81" w:rsidRPr="006E213B">
        <w:rPr>
          <w:rFonts w:ascii="Times New Roman" w:hAnsi="Times New Roman"/>
          <w:sz w:val="28"/>
          <w:szCs w:val="28"/>
          <w:lang w:val="ru-RU"/>
        </w:rPr>
        <w:t>подведомственных участников бюджетного процесса, учреждений, государственных (муниципальных) унитарных предприятий</w:t>
      </w:r>
      <w:r w:rsidR="00413A81" w:rsidRPr="00FD656F">
        <w:rPr>
          <w:rFonts w:ascii="Times New Roman" w:hAnsi="Times New Roman"/>
          <w:sz w:val="28"/>
          <w:szCs w:val="28"/>
          <w:lang w:val="ru-RU"/>
        </w:rPr>
        <w:t xml:space="preserve"> с указанием причин изменения их количества</w:t>
      </w:r>
      <w:r w:rsidR="00413A81">
        <w:rPr>
          <w:rFonts w:ascii="Times New Roman" w:hAnsi="Times New Roman"/>
          <w:sz w:val="28"/>
          <w:szCs w:val="28"/>
          <w:lang w:val="ru-RU"/>
        </w:rPr>
        <w:t>.</w:t>
      </w:r>
    </w:p>
    <w:p w:rsidR="0007531B" w:rsidRDefault="00B62A62" w:rsidP="00B62A62">
      <w:pPr>
        <w:pStyle w:val="af2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орма 0503372</w:t>
      </w:r>
      <w:r w:rsidR="0007531B" w:rsidRPr="00075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172">
        <w:rPr>
          <w:rFonts w:ascii="Times New Roman" w:hAnsi="Times New Roman"/>
          <w:sz w:val="28"/>
          <w:szCs w:val="28"/>
          <w:lang w:val="ru-RU"/>
        </w:rPr>
        <w:t>«</w:t>
      </w:r>
      <w:r w:rsidRPr="00B62A62">
        <w:rPr>
          <w:rFonts w:ascii="Times New Roman" w:hAnsi="Times New Roman"/>
          <w:sz w:val="28"/>
          <w:szCs w:val="28"/>
          <w:lang w:val="ru-RU"/>
        </w:rPr>
        <w:t>Сведения о государственном (муниципальном) долге, предоставленных бюджетных кредитах консолидированного бюджета»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76F7" w:rsidRDefault="00DC285C" w:rsidP="00DC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95AA9">
        <w:rPr>
          <w:rFonts w:ascii="Times New Roman" w:hAnsi="Times New Roman"/>
          <w:sz w:val="28"/>
          <w:szCs w:val="28"/>
          <w:lang w:val="ru-RU"/>
        </w:rPr>
        <w:t>Провер</w:t>
      </w:r>
      <w:r>
        <w:rPr>
          <w:rFonts w:ascii="Times New Roman" w:hAnsi="Times New Roman"/>
          <w:sz w:val="28"/>
          <w:szCs w:val="28"/>
          <w:lang w:val="ru-RU"/>
        </w:rPr>
        <w:t>яется</w:t>
      </w:r>
      <w:r w:rsidRPr="00C95AA9">
        <w:rPr>
          <w:rFonts w:ascii="Times New Roman" w:hAnsi="Times New Roman"/>
          <w:sz w:val="28"/>
          <w:szCs w:val="28"/>
          <w:lang w:val="ru-RU"/>
        </w:rPr>
        <w:t xml:space="preserve"> полнот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95AA9">
        <w:rPr>
          <w:rFonts w:ascii="Times New Roman" w:hAnsi="Times New Roman"/>
          <w:sz w:val="28"/>
          <w:szCs w:val="28"/>
          <w:lang w:val="ru-RU"/>
        </w:rPr>
        <w:t xml:space="preserve"> отражени</w:t>
      </w:r>
      <w:r>
        <w:rPr>
          <w:rFonts w:ascii="Times New Roman" w:hAnsi="Times New Roman"/>
          <w:sz w:val="28"/>
          <w:szCs w:val="28"/>
          <w:lang w:val="ru-RU"/>
        </w:rPr>
        <w:t xml:space="preserve">я отчетных данных формы 0503372, </w:t>
      </w:r>
      <w:r w:rsidRPr="00FD5DEF">
        <w:rPr>
          <w:rFonts w:ascii="Times New Roman" w:hAnsi="Times New Roman"/>
          <w:sz w:val="28"/>
          <w:szCs w:val="28"/>
          <w:lang w:val="ru-RU"/>
        </w:rPr>
        <w:t xml:space="preserve">сверяются показатели на начало отчетного периода с показателями бюджетной отчетности за конец отчетного периода годовой бюджетной отчетности за </w:t>
      </w:r>
      <w:r w:rsidR="00FD5DEF">
        <w:rPr>
          <w:rFonts w:ascii="Times New Roman" w:hAnsi="Times New Roman"/>
          <w:sz w:val="28"/>
          <w:szCs w:val="28"/>
          <w:lang w:val="ru-RU"/>
        </w:rPr>
        <w:t xml:space="preserve">предыдущий </w:t>
      </w:r>
      <w:r w:rsidRPr="00FD5DEF">
        <w:rPr>
          <w:rFonts w:ascii="Times New Roman" w:hAnsi="Times New Roman"/>
          <w:sz w:val="28"/>
          <w:szCs w:val="28"/>
          <w:lang w:val="ru-RU"/>
        </w:rPr>
        <w:t>отчетный год</w:t>
      </w:r>
      <w:r w:rsidR="00FD5DEF" w:rsidRPr="00FD5DEF">
        <w:rPr>
          <w:rFonts w:ascii="Times New Roman" w:hAnsi="Times New Roman"/>
          <w:sz w:val="28"/>
          <w:szCs w:val="28"/>
          <w:lang w:val="ru-RU"/>
        </w:rPr>
        <w:t>, проводится анализ и оценка состояния муниципального долга.</w:t>
      </w:r>
    </w:p>
    <w:p w:rsidR="00580AD0" w:rsidRPr="00580AD0" w:rsidRDefault="00580AD0" w:rsidP="00DC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7531B" w:rsidRPr="0007531B" w:rsidRDefault="0007531B" w:rsidP="000753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31B">
        <w:rPr>
          <w:rFonts w:ascii="Times New Roman" w:hAnsi="Times New Roman"/>
          <w:sz w:val="28"/>
          <w:szCs w:val="28"/>
          <w:lang w:val="ru-RU"/>
        </w:rPr>
        <w:tab/>
      </w:r>
      <w:r w:rsidRPr="0007531B">
        <w:rPr>
          <w:rFonts w:ascii="Times New Roman" w:hAnsi="Times New Roman"/>
          <w:sz w:val="28"/>
          <w:szCs w:val="28"/>
          <w:lang w:val="ru-RU"/>
        </w:rPr>
        <w:tab/>
        <w:t>Данные иных форм годового отчета анализируются и оцениваются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31B">
        <w:rPr>
          <w:rFonts w:ascii="Times New Roman" w:hAnsi="Times New Roman"/>
          <w:sz w:val="28"/>
          <w:szCs w:val="28"/>
          <w:lang w:val="ru-RU"/>
        </w:rPr>
        <w:t>для проверки информации, отраженной в отчете об исполнении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бюджета. Они </w:t>
      </w:r>
      <w:r w:rsidRPr="0007531B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могут анализироваться в случае, если проверка </w:t>
      </w:r>
      <w:r w:rsidR="001B2864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Pr="0007531B">
        <w:rPr>
          <w:rFonts w:ascii="Times New Roman" w:hAnsi="Times New Roman"/>
          <w:sz w:val="28"/>
          <w:szCs w:val="28"/>
          <w:lang w:val="ru-RU"/>
        </w:rPr>
        <w:t xml:space="preserve">отчета об исполнении бюджета </w:t>
      </w:r>
      <w:proofErr w:type="gramStart"/>
      <w:r w:rsidRPr="0007531B">
        <w:rPr>
          <w:rFonts w:ascii="Times New Roman" w:hAnsi="Times New Roman"/>
          <w:sz w:val="28"/>
          <w:szCs w:val="28"/>
          <w:lang w:val="ru-RU"/>
        </w:rPr>
        <w:t>свидетельствует</w:t>
      </w:r>
      <w:proofErr w:type="gramEnd"/>
      <w:r w:rsidRPr="0007531B">
        <w:rPr>
          <w:rFonts w:ascii="Times New Roman" w:hAnsi="Times New Roman"/>
          <w:sz w:val="28"/>
          <w:szCs w:val="28"/>
          <w:lang w:val="ru-RU"/>
        </w:rPr>
        <w:t xml:space="preserve"> о возможных фактах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31B">
        <w:rPr>
          <w:rFonts w:ascii="Times New Roman" w:hAnsi="Times New Roman"/>
          <w:sz w:val="28"/>
          <w:szCs w:val="28"/>
          <w:lang w:val="ru-RU"/>
        </w:rPr>
        <w:t>недостоверности иных форм отчетности.</w:t>
      </w:r>
    </w:p>
    <w:p w:rsidR="00C95AA9" w:rsidRPr="00C95AA9" w:rsidRDefault="00C95AA9" w:rsidP="00C95AA9">
      <w:pPr>
        <w:pStyle w:val="af2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28A" w:rsidRDefault="00EC1EC6" w:rsidP="0007531B">
      <w:pPr>
        <w:pStyle w:val="af2"/>
        <w:numPr>
          <w:ilvl w:val="1"/>
          <w:numId w:val="20"/>
        </w:numPr>
        <w:shd w:val="clear" w:color="auto" w:fill="FFFFFF"/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A628A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проведения внешней проверки ответственным лицом готовится </w:t>
      </w:r>
      <w:r w:rsidR="00DA628A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DA628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580AD0">
        <w:rPr>
          <w:rFonts w:ascii="Times New Roman" w:hAnsi="Times New Roman"/>
          <w:sz w:val="28"/>
          <w:szCs w:val="28"/>
          <w:lang w:val="ru-RU"/>
        </w:rPr>
        <w:t>годовой отчет,</w:t>
      </w:r>
      <w:r w:rsidR="00DA628A">
        <w:rPr>
          <w:rFonts w:ascii="Times New Roman" w:hAnsi="Times New Roman"/>
          <w:sz w:val="28"/>
          <w:szCs w:val="28"/>
          <w:lang w:val="ru-RU"/>
        </w:rPr>
        <w:t xml:space="preserve"> в котором отражаются результаты проверки по вышеуказанным вопросам, и делаются выводы</w:t>
      </w:r>
      <w:r w:rsidR="00B7725F">
        <w:rPr>
          <w:rFonts w:ascii="Times New Roman" w:hAnsi="Times New Roman"/>
          <w:sz w:val="28"/>
          <w:szCs w:val="28"/>
          <w:lang w:val="ru-RU"/>
        </w:rPr>
        <w:t>:</w:t>
      </w:r>
      <w:r w:rsidR="009B2E9C" w:rsidRPr="00DA62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EC6" w:rsidRPr="00B7725F" w:rsidRDefault="00F47B7F" w:rsidP="00DA628A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725F">
        <w:rPr>
          <w:rFonts w:ascii="Times New Roman" w:hAnsi="Times New Roman"/>
          <w:sz w:val="28"/>
          <w:szCs w:val="28"/>
          <w:lang w:val="ru-RU"/>
        </w:rPr>
        <w:t>о степени полноты представленной бюджетной отчетности и заполнения форм в соответствии с требованиями Инструкции, о (не</w:t>
      </w:r>
      <w:proofErr w:type="gramStart"/>
      <w:r w:rsidRPr="00B7725F">
        <w:rPr>
          <w:rFonts w:ascii="Times New Roman" w:hAnsi="Times New Roman"/>
          <w:sz w:val="28"/>
          <w:szCs w:val="28"/>
          <w:lang w:val="ru-RU"/>
        </w:rPr>
        <w:t>)п</w:t>
      </w:r>
      <w:proofErr w:type="gramEnd"/>
      <w:r w:rsidRPr="00B7725F">
        <w:rPr>
          <w:rFonts w:ascii="Times New Roman" w:hAnsi="Times New Roman"/>
          <w:sz w:val="28"/>
          <w:szCs w:val="28"/>
          <w:lang w:val="ru-RU"/>
        </w:rPr>
        <w:t xml:space="preserve">редставлении установленный срок; </w:t>
      </w:r>
    </w:p>
    <w:p w:rsidR="00F47B7F" w:rsidRPr="00B7725F" w:rsidRDefault="005F4A0C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725F">
        <w:rPr>
          <w:rFonts w:ascii="Times New Roman" w:hAnsi="Times New Roman"/>
          <w:sz w:val="28"/>
          <w:szCs w:val="28"/>
          <w:lang w:val="ru-RU"/>
        </w:rPr>
        <w:t>общие сведения о</w:t>
      </w:r>
      <w:r w:rsidR="00F47B7F" w:rsidRPr="00B7725F">
        <w:rPr>
          <w:rFonts w:ascii="Times New Roman" w:hAnsi="Times New Roman"/>
          <w:sz w:val="28"/>
          <w:szCs w:val="28"/>
          <w:lang w:val="ru-RU"/>
        </w:rPr>
        <w:t xml:space="preserve">б уровне исполнения </w:t>
      </w:r>
      <w:r w:rsidRPr="00B7725F">
        <w:rPr>
          <w:rFonts w:ascii="Times New Roman" w:hAnsi="Times New Roman"/>
          <w:sz w:val="28"/>
          <w:szCs w:val="28"/>
          <w:lang w:val="ru-RU"/>
        </w:rPr>
        <w:t>плановых</w:t>
      </w:r>
      <w:r w:rsidR="00F47B7F" w:rsidRPr="00B7725F">
        <w:rPr>
          <w:rFonts w:ascii="Times New Roman" w:hAnsi="Times New Roman"/>
          <w:sz w:val="28"/>
          <w:szCs w:val="28"/>
          <w:lang w:val="ru-RU"/>
        </w:rPr>
        <w:t xml:space="preserve"> (прогнозных)</w:t>
      </w:r>
      <w:r w:rsidRPr="00B7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B7F" w:rsidRPr="00B7725F">
        <w:rPr>
          <w:rFonts w:ascii="Times New Roman" w:hAnsi="Times New Roman"/>
          <w:sz w:val="28"/>
          <w:szCs w:val="28"/>
          <w:lang w:val="ru-RU"/>
        </w:rPr>
        <w:t xml:space="preserve">показателей, </w:t>
      </w:r>
      <w:r w:rsidR="00B7725F" w:rsidRPr="00B7725F">
        <w:rPr>
          <w:rFonts w:ascii="Times New Roman" w:hAnsi="Times New Roman"/>
          <w:sz w:val="28"/>
          <w:szCs w:val="28"/>
          <w:lang w:val="ru-RU"/>
        </w:rPr>
        <w:t>утвержденных</w:t>
      </w:r>
      <w:r w:rsidR="00F47B7F" w:rsidRPr="00B7725F">
        <w:rPr>
          <w:rFonts w:ascii="Times New Roman" w:hAnsi="Times New Roman"/>
          <w:sz w:val="28"/>
          <w:szCs w:val="28"/>
          <w:lang w:val="ru-RU"/>
        </w:rPr>
        <w:t xml:space="preserve"> на отчетный финансовый год;</w:t>
      </w:r>
      <w:r w:rsidRPr="00B772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B7F" w:rsidRPr="00B7725F" w:rsidRDefault="00F47B7F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725F">
        <w:rPr>
          <w:rFonts w:ascii="Times New Roman" w:hAnsi="Times New Roman"/>
          <w:sz w:val="28"/>
          <w:szCs w:val="28"/>
          <w:lang w:val="ru-RU"/>
        </w:rPr>
        <w:t>о (не</w:t>
      </w:r>
      <w:proofErr w:type="gramStart"/>
      <w:r w:rsidRPr="00B7725F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Pr="00B7725F">
        <w:rPr>
          <w:rFonts w:ascii="Times New Roman" w:hAnsi="Times New Roman"/>
          <w:sz w:val="28"/>
          <w:szCs w:val="28"/>
          <w:lang w:val="ru-RU"/>
        </w:rPr>
        <w:t>оответствии показателей бюджетной отчетности данным Решения о местном бюджете, сводной бюджетной росписи местного бюджета, отчетности по поступлениям и выбытиям средств местного бюджета;</w:t>
      </w:r>
    </w:p>
    <w:p w:rsidR="00F47B7F" w:rsidRPr="00B7725F" w:rsidRDefault="00F47B7F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725F">
        <w:rPr>
          <w:rFonts w:ascii="Times New Roman" w:hAnsi="Times New Roman"/>
          <w:sz w:val="28"/>
          <w:szCs w:val="28"/>
          <w:lang w:val="ru-RU"/>
        </w:rPr>
        <w:t>о внутренней согласованности форм бюджетной отчетности;</w:t>
      </w:r>
    </w:p>
    <w:p w:rsidR="005F4A0C" w:rsidRPr="00B7725F" w:rsidRDefault="00EC1EC6" w:rsidP="0081108B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725F">
        <w:rPr>
          <w:rFonts w:ascii="Times New Roman" w:hAnsi="Times New Roman"/>
          <w:sz w:val="28"/>
          <w:szCs w:val="28"/>
          <w:lang w:val="ru-RU"/>
        </w:rPr>
        <w:t>указываются вы</w:t>
      </w:r>
      <w:r w:rsidR="00F47B7F" w:rsidRPr="00B7725F">
        <w:rPr>
          <w:rFonts w:ascii="Times New Roman" w:hAnsi="Times New Roman"/>
          <w:sz w:val="28"/>
          <w:szCs w:val="28"/>
          <w:lang w:val="ru-RU"/>
        </w:rPr>
        <w:t>явленные недостатки и нарушения</w:t>
      </w:r>
      <w:r w:rsidR="005F4A0C" w:rsidRPr="00B7725F">
        <w:rPr>
          <w:rFonts w:ascii="Times New Roman" w:hAnsi="Times New Roman"/>
          <w:sz w:val="28"/>
          <w:szCs w:val="28"/>
          <w:lang w:val="ru-RU"/>
        </w:rPr>
        <w:t>.</w:t>
      </w:r>
    </w:p>
    <w:p w:rsidR="003865C8" w:rsidRPr="00FD656F" w:rsidRDefault="00B7725F" w:rsidP="00B7725F">
      <w:pPr>
        <w:pStyle w:val="af2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1108B">
        <w:rPr>
          <w:rFonts w:ascii="Times New Roman" w:hAnsi="Times New Roman"/>
          <w:sz w:val="28"/>
          <w:szCs w:val="28"/>
          <w:lang w:val="ru-RU"/>
        </w:rPr>
        <w:t>Заключение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подписывается </w:t>
      </w:r>
      <w:r w:rsidR="0081108B">
        <w:rPr>
          <w:rFonts w:ascii="Times New Roman" w:hAnsi="Times New Roman"/>
          <w:sz w:val="28"/>
          <w:szCs w:val="28"/>
          <w:lang w:val="ru-RU"/>
        </w:rPr>
        <w:t>председателем Контрольно-счетной палаты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 в 3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>-х экземплярах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>1</w:t>
      </w:r>
      <w:r w:rsidR="00580AD0">
        <w:rPr>
          <w:rFonts w:ascii="Times New Roman" w:hAnsi="Times New Roman"/>
          <w:sz w:val="28"/>
          <w:szCs w:val="28"/>
          <w:lang w:val="ru-RU"/>
        </w:rPr>
        <w:t>-ый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>2-ой экземпляр</w:t>
      </w:r>
      <w:r w:rsidR="0026614F">
        <w:rPr>
          <w:rFonts w:ascii="Times New Roman" w:hAnsi="Times New Roman"/>
          <w:sz w:val="28"/>
          <w:szCs w:val="28"/>
          <w:lang w:val="ru-RU"/>
        </w:rPr>
        <w:t>ы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заключения направляется </w:t>
      </w:r>
      <w:r w:rsidR="0026614F" w:rsidRPr="0026614F">
        <w:rPr>
          <w:rFonts w:ascii="Times New Roman" w:hAnsi="Times New Roman"/>
          <w:sz w:val="28"/>
          <w:szCs w:val="28"/>
          <w:lang w:val="ru-RU"/>
        </w:rPr>
        <w:t xml:space="preserve">Главе Муниципального образования </w:t>
      </w:r>
      <w:proofErr w:type="gramStart"/>
      <w:r w:rsidR="0026614F" w:rsidRPr="0026614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26614F" w:rsidRPr="0026614F">
        <w:rPr>
          <w:rFonts w:ascii="Times New Roman" w:hAnsi="Times New Roman"/>
          <w:sz w:val="28"/>
          <w:szCs w:val="28"/>
          <w:lang w:val="ru-RU"/>
        </w:rPr>
        <w:t>. Белогорск и председателю Белогорского город</w:t>
      </w:r>
      <w:r w:rsidR="0026614F">
        <w:rPr>
          <w:rFonts w:ascii="Times New Roman" w:hAnsi="Times New Roman"/>
          <w:sz w:val="28"/>
          <w:szCs w:val="28"/>
          <w:lang w:val="ru-RU"/>
        </w:rPr>
        <w:t xml:space="preserve">ского Совета народных депутатов, 3-й экземпляр хранится 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6614F">
        <w:rPr>
          <w:rFonts w:ascii="Times New Roman" w:hAnsi="Times New Roman"/>
          <w:sz w:val="28"/>
          <w:szCs w:val="28"/>
          <w:lang w:val="ru-RU"/>
        </w:rPr>
        <w:t>К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 xml:space="preserve">онтрольно-счетной палате </w:t>
      </w:r>
      <w:r w:rsidR="0026614F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Белогорск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>.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865C8" w:rsidRPr="00FD656F" w:rsidSect="001C1687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701" w:header="454" w:footer="454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4C" w:rsidRDefault="002F134C">
      <w:r>
        <w:separator/>
      </w:r>
    </w:p>
  </w:endnote>
  <w:endnote w:type="continuationSeparator" w:id="1">
    <w:p w:rsidR="002F134C" w:rsidRDefault="002F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80" w:rsidRDefault="00240880">
    <w:pPr>
      <w:pStyle w:val="a7"/>
      <w:jc w:val="right"/>
    </w:pPr>
  </w:p>
  <w:p w:rsidR="00240880" w:rsidRDefault="002408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4C" w:rsidRDefault="002F134C">
      <w:r>
        <w:separator/>
      </w:r>
    </w:p>
  </w:footnote>
  <w:footnote w:type="continuationSeparator" w:id="1">
    <w:p w:rsidR="002F134C" w:rsidRDefault="002F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80" w:rsidRDefault="001D2E08" w:rsidP="00A26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08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880" w:rsidRDefault="002408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40880" w:rsidRPr="0079554E" w:rsidRDefault="001D2E08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9554E">
          <w:rPr>
            <w:rFonts w:ascii="Times New Roman" w:hAnsi="Times New Roman"/>
            <w:sz w:val="20"/>
            <w:szCs w:val="20"/>
          </w:rPr>
          <w:fldChar w:fldCharType="begin"/>
        </w:r>
        <w:r w:rsidR="00240880" w:rsidRPr="007955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9554E">
          <w:rPr>
            <w:rFonts w:ascii="Times New Roman" w:hAnsi="Times New Roman"/>
            <w:sz w:val="20"/>
            <w:szCs w:val="20"/>
          </w:rPr>
          <w:fldChar w:fldCharType="separate"/>
        </w:r>
        <w:r w:rsidR="004D7430">
          <w:rPr>
            <w:rFonts w:ascii="Times New Roman" w:hAnsi="Times New Roman"/>
            <w:noProof/>
            <w:sz w:val="20"/>
            <w:szCs w:val="20"/>
          </w:rPr>
          <w:t>8</w:t>
        </w:r>
        <w:r w:rsidRPr="007955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40880" w:rsidRDefault="00240880" w:rsidP="002C00B7">
    <w:pPr>
      <w:pStyle w:val="a4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4.3.2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5"/>
      <w:numFmt w:val="decimal"/>
      <w:lvlText w:val="4.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4.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1" w:tplc="00000124">
      <w:start w:val="2"/>
      <w:numFmt w:val="decimal"/>
      <w:lvlText w:val="4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BE6F4B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2456066"/>
    <w:multiLevelType w:val="hybridMultilevel"/>
    <w:tmpl w:val="0C00B13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72D2"/>
    <w:multiLevelType w:val="hybridMultilevel"/>
    <w:tmpl w:val="57F822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E1DD9"/>
    <w:multiLevelType w:val="hybridMultilevel"/>
    <w:tmpl w:val="0B088BF8"/>
    <w:lvl w:ilvl="0" w:tplc="49E43510">
      <w:start w:val="6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3">
    <w:nsid w:val="2E9A1783"/>
    <w:multiLevelType w:val="hybridMultilevel"/>
    <w:tmpl w:val="338001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F04BB"/>
    <w:multiLevelType w:val="multilevel"/>
    <w:tmpl w:val="D0F0127C"/>
    <w:lvl w:ilvl="0">
      <w:start w:val="1"/>
      <w:numFmt w:val="decimal"/>
      <w:lvlText w:val="3.7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38D65F9"/>
    <w:multiLevelType w:val="hybridMultilevel"/>
    <w:tmpl w:val="8A08BA1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43CFD"/>
    <w:multiLevelType w:val="hybridMultilevel"/>
    <w:tmpl w:val="51AA44CE"/>
    <w:lvl w:ilvl="0" w:tplc="F862832A">
      <w:start w:val="1"/>
      <w:numFmt w:val="decimal"/>
      <w:lvlText w:val="3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97CB9"/>
    <w:multiLevelType w:val="hybridMultilevel"/>
    <w:tmpl w:val="00003850"/>
    <w:lvl w:ilvl="0" w:tplc="9D74E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5621F"/>
    <w:multiLevelType w:val="hybridMultilevel"/>
    <w:tmpl w:val="F132B1A8"/>
    <w:lvl w:ilvl="0" w:tplc="B3CE8C8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3FDE74F3"/>
    <w:multiLevelType w:val="hybridMultilevel"/>
    <w:tmpl w:val="9EA841EA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623B"/>
    <w:multiLevelType w:val="multilevel"/>
    <w:tmpl w:val="6088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9225ACF"/>
    <w:multiLevelType w:val="hybridMultilevel"/>
    <w:tmpl w:val="C83AD94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06931"/>
    <w:multiLevelType w:val="multilevel"/>
    <w:tmpl w:val="EA3A455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53DB4EF6"/>
    <w:multiLevelType w:val="hybridMultilevel"/>
    <w:tmpl w:val="E7A2AD9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2957"/>
    <w:multiLevelType w:val="hybridMultilevel"/>
    <w:tmpl w:val="56F8E4C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4619B"/>
    <w:multiLevelType w:val="hybridMultilevel"/>
    <w:tmpl w:val="C4244A3A"/>
    <w:lvl w:ilvl="0" w:tplc="03AC4332">
      <w:start w:val="1"/>
      <w:numFmt w:val="decimal"/>
      <w:pStyle w:val="a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21D2E4D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64CA5B67"/>
    <w:multiLevelType w:val="hybridMultilevel"/>
    <w:tmpl w:val="6B38D4E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644A3"/>
    <w:multiLevelType w:val="hybridMultilevel"/>
    <w:tmpl w:val="D5ACA500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B31BE"/>
    <w:multiLevelType w:val="hybridMultilevel"/>
    <w:tmpl w:val="108AF92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05030"/>
    <w:multiLevelType w:val="multilevel"/>
    <w:tmpl w:val="23C22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26"/>
  </w:num>
  <w:num w:numId="12">
    <w:abstractNumId w:val="17"/>
  </w:num>
  <w:num w:numId="13">
    <w:abstractNumId w:val="13"/>
  </w:num>
  <w:num w:numId="14">
    <w:abstractNumId w:val="25"/>
  </w:num>
  <w:num w:numId="15">
    <w:abstractNumId w:val="30"/>
  </w:num>
  <w:num w:numId="16">
    <w:abstractNumId w:val="28"/>
  </w:num>
  <w:num w:numId="17">
    <w:abstractNumId w:val="19"/>
  </w:num>
  <w:num w:numId="18">
    <w:abstractNumId w:val="20"/>
  </w:num>
  <w:num w:numId="19">
    <w:abstractNumId w:val="9"/>
  </w:num>
  <w:num w:numId="20">
    <w:abstractNumId w:val="22"/>
  </w:num>
  <w:num w:numId="21">
    <w:abstractNumId w:val="27"/>
  </w:num>
  <w:num w:numId="22">
    <w:abstractNumId w:val="29"/>
  </w:num>
  <w:num w:numId="23">
    <w:abstractNumId w:val="23"/>
  </w:num>
  <w:num w:numId="24">
    <w:abstractNumId w:val="14"/>
  </w:num>
  <w:num w:numId="25">
    <w:abstractNumId w:val="15"/>
  </w:num>
  <w:num w:numId="26">
    <w:abstractNumId w:val="18"/>
  </w:num>
  <w:num w:numId="27">
    <w:abstractNumId w:val="10"/>
  </w:num>
  <w:num w:numId="28">
    <w:abstractNumId w:val="16"/>
  </w:num>
  <w:num w:numId="29">
    <w:abstractNumId w:val="11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3C"/>
    <w:rsid w:val="00006036"/>
    <w:rsid w:val="0002063C"/>
    <w:rsid w:val="0003202A"/>
    <w:rsid w:val="00034C51"/>
    <w:rsid w:val="00036DF0"/>
    <w:rsid w:val="00041BAE"/>
    <w:rsid w:val="000427DE"/>
    <w:rsid w:val="00057C68"/>
    <w:rsid w:val="00061F73"/>
    <w:rsid w:val="0006393A"/>
    <w:rsid w:val="00063EA8"/>
    <w:rsid w:val="00071344"/>
    <w:rsid w:val="0007531B"/>
    <w:rsid w:val="00075324"/>
    <w:rsid w:val="00075CAB"/>
    <w:rsid w:val="00085950"/>
    <w:rsid w:val="000973B2"/>
    <w:rsid w:val="000A0714"/>
    <w:rsid w:val="000A2B46"/>
    <w:rsid w:val="000A6986"/>
    <w:rsid w:val="000B270C"/>
    <w:rsid w:val="000C2B51"/>
    <w:rsid w:val="000C4E89"/>
    <w:rsid w:val="000D3E47"/>
    <w:rsid w:val="000D4899"/>
    <w:rsid w:val="000E1E1F"/>
    <w:rsid w:val="000F5047"/>
    <w:rsid w:val="000F6EAE"/>
    <w:rsid w:val="00100302"/>
    <w:rsid w:val="0010313D"/>
    <w:rsid w:val="00110F4B"/>
    <w:rsid w:val="00111DD8"/>
    <w:rsid w:val="001178A8"/>
    <w:rsid w:val="00122CDF"/>
    <w:rsid w:val="00137731"/>
    <w:rsid w:val="00142214"/>
    <w:rsid w:val="001422F1"/>
    <w:rsid w:val="00151CD3"/>
    <w:rsid w:val="00157BEB"/>
    <w:rsid w:val="0016409E"/>
    <w:rsid w:val="00166268"/>
    <w:rsid w:val="00167172"/>
    <w:rsid w:val="0017347A"/>
    <w:rsid w:val="001777EC"/>
    <w:rsid w:val="00181E6A"/>
    <w:rsid w:val="001827CD"/>
    <w:rsid w:val="00195325"/>
    <w:rsid w:val="0019567D"/>
    <w:rsid w:val="0019590A"/>
    <w:rsid w:val="00195EDF"/>
    <w:rsid w:val="00197190"/>
    <w:rsid w:val="001A355D"/>
    <w:rsid w:val="001A7654"/>
    <w:rsid w:val="001B2864"/>
    <w:rsid w:val="001B4891"/>
    <w:rsid w:val="001C1687"/>
    <w:rsid w:val="001C59B0"/>
    <w:rsid w:val="001C741B"/>
    <w:rsid w:val="001C7888"/>
    <w:rsid w:val="001D2E08"/>
    <w:rsid w:val="001D30DC"/>
    <w:rsid w:val="001E5CA9"/>
    <w:rsid w:val="001E66FD"/>
    <w:rsid w:val="001F7101"/>
    <w:rsid w:val="00210A8A"/>
    <w:rsid w:val="00232EDB"/>
    <w:rsid w:val="002372C4"/>
    <w:rsid w:val="00240880"/>
    <w:rsid w:val="00251F7F"/>
    <w:rsid w:val="00254E59"/>
    <w:rsid w:val="00261D3C"/>
    <w:rsid w:val="00263C8E"/>
    <w:rsid w:val="0026614F"/>
    <w:rsid w:val="00273DFB"/>
    <w:rsid w:val="00275925"/>
    <w:rsid w:val="00277C03"/>
    <w:rsid w:val="0028393F"/>
    <w:rsid w:val="00284C48"/>
    <w:rsid w:val="00286A20"/>
    <w:rsid w:val="00292711"/>
    <w:rsid w:val="00292DE2"/>
    <w:rsid w:val="002968C7"/>
    <w:rsid w:val="00296F0F"/>
    <w:rsid w:val="002A04B7"/>
    <w:rsid w:val="002A51C3"/>
    <w:rsid w:val="002A6FC3"/>
    <w:rsid w:val="002B280D"/>
    <w:rsid w:val="002B49D0"/>
    <w:rsid w:val="002B7C79"/>
    <w:rsid w:val="002C00B7"/>
    <w:rsid w:val="002C7DDE"/>
    <w:rsid w:val="002C7FC9"/>
    <w:rsid w:val="002D0983"/>
    <w:rsid w:val="002D5B3A"/>
    <w:rsid w:val="002E2830"/>
    <w:rsid w:val="002E3BD5"/>
    <w:rsid w:val="002F134C"/>
    <w:rsid w:val="002F7FCE"/>
    <w:rsid w:val="00301BDB"/>
    <w:rsid w:val="00305EEE"/>
    <w:rsid w:val="00306639"/>
    <w:rsid w:val="00315BF8"/>
    <w:rsid w:val="00317964"/>
    <w:rsid w:val="003264E6"/>
    <w:rsid w:val="00327159"/>
    <w:rsid w:val="003415F0"/>
    <w:rsid w:val="003516F3"/>
    <w:rsid w:val="0035304F"/>
    <w:rsid w:val="003555BE"/>
    <w:rsid w:val="00362B21"/>
    <w:rsid w:val="00365DF2"/>
    <w:rsid w:val="0036602F"/>
    <w:rsid w:val="00373D21"/>
    <w:rsid w:val="00380A99"/>
    <w:rsid w:val="003831C5"/>
    <w:rsid w:val="003865C8"/>
    <w:rsid w:val="00391424"/>
    <w:rsid w:val="00393DB5"/>
    <w:rsid w:val="00397544"/>
    <w:rsid w:val="003A3122"/>
    <w:rsid w:val="003A54B3"/>
    <w:rsid w:val="003A6687"/>
    <w:rsid w:val="003B111A"/>
    <w:rsid w:val="003B3A5D"/>
    <w:rsid w:val="003B4431"/>
    <w:rsid w:val="003C00BD"/>
    <w:rsid w:val="003C55D8"/>
    <w:rsid w:val="003D0401"/>
    <w:rsid w:val="003D136C"/>
    <w:rsid w:val="003E3F20"/>
    <w:rsid w:val="003F09F5"/>
    <w:rsid w:val="003F0DB2"/>
    <w:rsid w:val="003F208D"/>
    <w:rsid w:val="00413A81"/>
    <w:rsid w:val="004146E2"/>
    <w:rsid w:val="0044133D"/>
    <w:rsid w:val="00476279"/>
    <w:rsid w:val="00477AFA"/>
    <w:rsid w:val="004869B4"/>
    <w:rsid w:val="004952B2"/>
    <w:rsid w:val="004A196A"/>
    <w:rsid w:val="004A2A45"/>
    <w:rsid w:val="004A4FED"/>
    <w:rsid w:val="004B50A4"/>
    <w:rsid w:val="004C2D4B"/>
    <w:rsid w:val="004C3AD1"/>
    <w:rsid w:val="004C5344"/>
    <w:rsid w:val="004C55D0"/>
    <w:rsid w:val="004C58FD"/>
    <w:rsid w:val="004C776F"/>
    <w:rsid w:val="004D13B7"/>
    <w:rsid w:val="004D7430"/>
    <w:rsid w:val="004E5A6F"/>
    <w:rsid w:val="004F2742"/>
    <w:rsid w:val="004F2AD1"/>
    <w:rsid w:val="004F7779"/>
    <w:rsid w:val="00502D02"/>
    <w:rsid w:val="00503C4E"/>
    <w:rsid w:val="00503EEE"/>
    <w:rsid w:val="00510068"/>
    <w:rsid w:val="005102E6"/>
    <w:rsid w:val="00514F5E"/>
    <w:rsid w:val="0051765C"/>
    <w:rsid w:val="00521A59"/>
    <w:rsid w:val="00524FA1"/>
    <w:rsid w:val="005257D8"/>
    <w:rsid w:val="00530D81"/>
    <w:rsid w:val="00531D2A"/>
    <w:rsid w:val="005321D7"/>
    <w:rsid w:val="00533718"/>
    <w:rsid w:val="00534962"/>
    <w:rsid w:val="005359C6"/>
    <w:rsid w:val="005368BD"/>
    <w:rsid w:val="0055335A"/>
    <w:rsid w:val="0055441E"/>
    <w:rsid w:val="00554CF2"/>
    <w:rsid w:val="00562CAC"/>
    <w:rsid w:val="00565BB2"/>
    <w:rsid w:val="00567AED"/>
    <w:rsid w:val="00571F3F"/>
    <w:rsid w:val="00574BEC"/>
    <w:rsid w:val="00574E4D"/>
    <w:rsid w:val="00580AD0"/>
    <w:rsid w:val="005869AB"/>
    <w:rsid w:val="00591FE3"/>
    <w:rsid w:val="005939B6"/>
    <w:rsid w:val="00596D24"/>
    <w:rsid w:val="005A2B60"/>
    <w:rsid w:val="005A2E55"/>
    <w:rsid w:val="005B0608"/>
    <w:rsid w:val="005B16C2"/>
    <w:rsid w:val="005B6A87"/>
    <w:rsid w:val="005C4090"/>
    <w:rsid w:val="005C4D12"/>
    <w:rsid w:val="005D2D79"/>
    <w:rsid w:val="005F4A0C"/>
    <w:rsid w:val="00600F72"/>
    <w:rsid w:val="006131BB"/>
    <w:rsid w:val="0062091A"/>
    <w:rsid w:val="00620D0A"/>
    <w:rsid w:val="00631334"/>
    <w:rsid w:val="00634702"/>
    <w:rsid w:val="00635EA7"/>
    <w:rsid w:val="006405DC"/>
    <w:rsid w:val="00643F5C"/>
    <w:rsid w:val="006443F0"/>
    <w:rsid w:val="00647D9E"/>
    <w:rsid w:val="0065277A"/>
    <w:rsid w:val="00666028"/>
    <w:rsid w:val="00670056"/>
    <w:rsid w:val="00670D1E"/>
    <w:rsid w:val="0067230E"/>
    <w:rsid w:val="0067372B"/>
    <w:rsid w:val="00673F84"/>
    <w:rsid w:val="0067425F"/>
    <w:rsid w:val="00677A43"/>
    <w:rsid w:val="006913AB"/>
    <w:rsid w:val="006973A4"/>
    <w:rsid w:val="006A0BB1"/>
    <w:rsid w:val="006A401D"/>
    <w:rsid w:val="006A5341"/>
    <w:rsid w:val="006B4D26"/>
    <w:rsid w:val="006D17D2"/>
    <w:rsid w:val="006D1ABA"/>
    <w:rsid w:val="006D30D4"/>
    <w:rsid w:val="006D4497"/>
    <w:rsid w:val="006D4A88"/>
    <w:rsid w:val="006D6169"/>
    <w:rsid w:val="006D6419"/>
    <w:rsid w:val="006E213B"/>
    <w:rsid w:val="006E2958"/>
    <w:rsid w:val="006E4FD6"/>
    <w:rsid w:val="006F3138"/>
    <w:rsid w:val="006F4B4C"/>
    <w:rsid w:val="006F4E1B"/>
    <w:rsid w:val="006F7C9A"/>
    <w:rsid w:val="007021DB"/>
    <w:rsid w:val="007053FA"/>
    <w:rsid w:val="00707EEA"/>
    <w:rsid w:val="00726815"/>
    <w:rsid w:val="00730D41"/>
    <w:rsid w:val="00741656"/>
    <w:rsid w:val="00743AF3"/>
    <w:rsid w:val="00747CBD"/>
    <w:rsid w:val="00754F1A"/>
    <w:rsid w:val="00760567"/>
    <w:rsid w:val="00763F1A"/>
    <w:rsid w:val="007679D3"/>
    <w:rsid w:val="00773523"/>
    <w:rsid w:val="00780710"/>
    <w:rsid w:val="007814DA"/>
    <w:rsid w:val="00781B24"/>
    <w:rsid w:val="00787198"/>
    <w:rsid w:val="0079554E"/>
    <w:rsid w:val="00796CE9"/>
    <w:rsid w:val="007A34BF"/>
    <w:rsid w:val="007A65FE"/>
    <w:rsid w:val="007B68AC"/>
    <w:rsid w:val="007C7F05"/>
    <w:rsid w:val="007D0B87"/>
    <w:rsid w:val="007D441C"/>
    <w:rsid w:val="007D708D"/>
    <w:rsid w:val="007D75A6"/>
    <w:rsid w:val="007E1D5A"/>
    <w:rsid w:val="007E7CEB"/>
    <w:rsid w:val="007F2A63"/>
    <w:rsid w:val="007F2BC0"/>
    <w:rsid w:val="007F6D88"/>
    <w:rsid w:val="00807C34"/>
    <w:rsid w:val="0081108B"/>
    <w:rsid w:val="008127A9"/>
    <w:rsid w:val="00816BB5"/>
    <w:rsid w:val="00826B62"/>
    <w:rsid w:val="008272EF"/>
    <w:rsid w:val="00835163"/>
    <w:rsid w:val="00843EFE"/>
    <w:rsid w:val="00851FC2"/>
    <w:rsid w:val="008523B7"/>
    <w:rsid w:val="008545F1"/>
    <w:rsid w:val="00855C7A"/>
    <w:rsid w:val="00856981"/>
    <w:rsid w:val="008618BF"/>
    <w:rsid w:val="00862FF5"/>
    <w:rsid w:val="008660C5"/>
    <w:rsid w:val="00870698"/>
    <w:rsid w:val="00871BBA"/>
    <w:rsid w:val="00887166"/>
    <w:rsid w:val="008933D5"/>
    <w:rsid w:val="00897AD4"/>
    <w:rsid w:val="008A0F31"/>
    <w:rsid w:val="008A367F"/>
    <w:rsid w:val="008A4DCD"/>
    <w:rsid w:val="008B1812"/>
    <w:rsid w:val="008B261C"/>
    <w:rsid w:val="008B5AB2"/>
    <w:rsid w:val="008C6098"/>
    <w:rsid w:val="008D2C72"/>
    <w:rsid w:val="008D59E0"/>
    <w:rsid w:val="008E48D8"/>
    <w:rsid w:val="008F121C"/>
    <w:rsid w:val="00904059"/>
    <w:rsid w:val="00910FAD"/>
    <w:rsid w:val="00916BB7"/>
    <w:rsid w:val="0092776B"/>
    <w:rsid w:val="00930330"/>
    <w:rsid w:val="00930EC0"/>
    <w:rsid w:val="00933B20"/>
    <w:rsid w:val="0093595D"/>
    <w:rsid w:val="00936054"/>
    <w:rsid w:val="00941D9A"/>
    <w:rsid w:val="00941F93"/>
    <w:rsid w:val="009473DD"/>
    <w:rsid w:val="00952576"/>
    <w:rsid w:val="00954D16"/>
    <w:rsid w:val="00954ED3"/>
    <w:rsid w:val="00962236"/>
    <w:rsid w:val="00962714"/>
    <w:rsid w:val="00964412"/>
    <w:rsid w:val="00966D09"/>
    <w:rsid w:val="00973F9E"/>
    <w:rsid w:val="00976DDF"/>
    <w:rsid w:val="00982393"/>
    <w:rsid w:val="009837CC"/>
    <w:rsid w:val="00997D99"/>
    <w:rsid w:val="00997E87"/>
    <w:rsid w:val="009A20CC"/>
    <w:rsid w:val="009A2360"/>
    <w:rsid w:val="009B13F4"/>
    <w:rsid w:val="009B2E9C"/>
    <w:rsid w:val="009C0CB0"/>
    <w:rsid w:val="009C1694"/>
    <w:rsid w:val="009C6BB6"/>
    <w:rsid w:val="009C6E3B"/>
    <w:rsid w:val="009D2D93"/>
    <w:rsid w:val="009E5493"/>
    <w:rsid w:val="009F36D5"/>
    <w:rsid w:val="00A00FAB"/>
    <w:rsid w:val="00A06B38"/>
    <w:rsid w:val="00A06CB7"/>
    <w:rsid w:val="00A115C1"/>
    <w:rsid w:val="00A176F7"/>
    <w:rsid w:val="00A23B80"/>
    <w:rsid w:val="00A251C9"/>
    <w:rsid w:val="00A256C2"/>
    <w:rsid w:val="00A26766"/>
    <w:rsid w:val="00A302CB"/>
    <w:rsid w:val="00A3134D"/>
    <w:rsid w:val="00A36AD3"/>
    <w:rsid w:val="00A37A9E"/>
    <w:rsid w:val="00A37F90"/>
    <w:rsid w:val="00A406CD"/>
    <w:rsid w:val="00A40A06"/>
    <w:rsid w:val="00A41EA8"/>
    <w:rsid w:val="00A434BA"/>
    <w:rsid w:val="00A5038F"/>
    <w:rsid w:val="00A62C73"/>
    <w:rsid w:val="00A6436C"/>
    <w:rsid w:val="00A64B73"/>
    <w:rsid w:val="00A65F77"/>
    <w:rsid w:val="00A71DE2"/>
    <w:rsid w:val="00A720A2"/>
    <w:rsid w:val="00A733DA"/>
    <w:rsid w:val="00A73461"/>
    <w:rsid w:val="00A870DF"/>
    <w:rsid w:val="00A915E6"/>
    <w:rsid w:val="00A95CD6"/>
    <w:rsid w:val="00A97D08"/>
    <w:rsid w:val="00AA0F81"/>
    <w:rsid w:val="00AA34FC"/>
    <w:rsid w:val="00AC08E8"/>
    <w:rsid w:val="00AC7B2E"/>
    <w:rsid w:val="00AE1566"/>
    <w:rsid w:val="00AE58A7"/>
    <w:rsid w:val="00AE7861"/>
    <w:rsid w:val="00AF27BE"/>
    <w:rsid w:val="00AF552E"/>
    <w:rsid w:val="00AF5AA3"/>
    <w:rsid w:val="00AF6205"/>
    <w:rsid w:val="00AF7585"/>
    <w:rsid w:val="00B2056E"/>
    <w:rsid w:val="00B21F90"/>
    <w:rsid w:val="00B25460"/>
    <w:rsid w:val="00B304B6"/>
    <w:rsid w:val="00B311F1"/>
    <w:rsid w:val="00B3147E"/>
    <w:rsid w:val="00B3656B"/>
    <w:rsid w:val="00B45DA5"/>
    <w:rsid w:val="00B467A5"/>
    <w:rsid w:val="00B54A08"/>
    <w:rsid w:val="00B62A62"/>
    <w:rsid w:val="00B641E3"/>
    <w:rsid w:val="00B6573C"/>
    <w:rsid w:val="00B66B95"/>
    <w:rsid w:val="00B7494E"/>
    <w:rsid w:val="00B7725F"/>
    <w:rsid w:val="00B87485"/>
    <w:rsid w:val="00B94631"/>
    <w:rsid w:val="00BA136B"/>
    <w:rsid w:val="00BA4C00"/>
    <w:rsid w:val="00BA7F93"/>
    <w:rsid w:val="00BB174F"/>
    <w:rsid w:val="00BB36D7"/>
    <w:rsid w:val="00BB5BAD"/>
    <w:rsid w:val="00BC012D"/>
    <w:rsid w:val="00BC2862"/>
    <w:rsid w:val="00BC3870"/>
    <w:rsid w:val="00BC55AE"/>
    <w:rsid w:val="00BC6D7C"/>
    <w:rsid w:val="00BC7F92"/>
    <w:rsid w:val="00BD21E3"/>
    <w:rsid w:val="00BD245C"/>
    <w:rsid w:val="00BD4865"/>
    <w:rsid w:val="00BE3614"/>
    <w:rsid w:val="00BF317A"/>
    <w:rsid w:val="00BF5096"/>
    <w:rsid w:val="00C05B3C"/>
    <w:rsid w:val="00C13426"/>
    <w:rsid w:val="00C140BE"/>
    <w:rsid w:val="00C218FF"/>
    <w:rsid w:val="00C230C2"/>
    <w:rsid w:val="00C27EB7"/>
    <w:rsid w:val="00C31893"/>
    <w:rsid w:val="00C428DD"/>
    <w:rsid w:val="00C44146"/>
    <w:rsid w:val="00C44A04"/>
    <w:rsid w:val="00C44BFC"/>
    <w:rsid w:val="00C46780"/>
    <w:rsid w:val="00C6158F"/>
    <w:rsid w:val="00C61B30"/>
    <w:rsid w:val="00C73995"/>
    <w:rsid w:val="00C75A59"/>
    <w:rsid w:val="00C81AED"/>
    <w:rsid w:val="00C8380B"/>
    <w:rsid w:val="00C8598F"/>
    <w:rsid w:val="00C878E5"/>
    <w:rsid w:val="00C910B3"/>
    <w:rsid w:val="00C9324B"/>
    <w:rsid w:val="00C9497B"/>
    <w:rsid w:val="00C95AA9"/>
    <w:rsid w:val="00CA41E6"/>
    <w:rsid w:val="00CB1601"/>
    <w:rsid w:val="00CB322E"/>
    <w:rsid w:val="00CB502C"/>
    <w:rsid w:val="00CC0441"/>
    <w:rsid w:val="00CC321B"/>
    <w:rsid w:val="00CC640D"/>
    <w:rsid w:val="00CD0078"/>
    <w:rsid w:val="00CD0FC7"/>
    <w:rsid w:val="00CF0D88"/>
    <w:rsid w:val="00CF74DE"/>
    <w:rsid w:val="00D01515"/>
    <w:rsid w:val="00D05EE9"/>
    <w:rsid w:val="00D06871"/>
    <w:rsid w:val="00D07C0D"/>
    <w:rsid w:val="00D31A4D"/>
    <w:rsid w:val="00D3205C"/>
    <w:rsid w:val="00D33030"/>
    <w:rsid w:val="00D51706"/>
    <w:rsid w:val="00D53D7D"/>
    <w:rsid w:val="00D55305"/>
    <w:rsid w:val="00D56971"/>
    <w:rsid w:val="00D57EDB"/>
    <w:rsid w:val="00D71BF1"/>
    <w:rsid w:val="00D86337"/>
    <w:rsid w:val="00D867A1"/>
    <w:rsid w:val="00D87340"/>
    <w:rsid w:val="00D90640"/>
    <w:rsid w:val="00D96AC0"/>
    <w:rsid w:val="00D970F6"/>
    <w:rsid w:val="00DA3351"/>
    <w:rsid w:val="00DA628A"/>
    <w:rsid w:val="00DB3800"/>
    <w:rsid w:val="00DC091C"/>
    <w:rsid w:val="00DC285C"/>
    <w:rsid w:val="00DC3C32"/>
    <w:rsid w:val="00DC4925"/>
    <w:rsid w:val="00DD4051"/>
    <w:rsid w:val="00DD5F7C"/>
    <w:rsid w:val="00DD72DE"/>
    <w:rsid w:val="00DE5C62"/>
    <w:rsid w:val="00DE64B8"/>
    <w:rsid w:val="00DF20B3"/>
    <w:rsid w:val="00DF7D08"/>
    <w:rsid w:val="00E04636"/>
    <w:rsid w:val="00E05C47"/>
    <w:rsid w:val="00E068AA"/>
    <w:rsid w:val="00E13568"/>
    <w:rsid w:val="00E16043"/>
    <w:rsid w:val="00E20422"/>
    <w:rsid w:val="00E20A03"/>
    <w:rsid w:val="00E22E75"/>
    <w:rsid w:val="00E235BE"/>
    <w:rsid w:val="00E235DC"/>
    <w:rsid w:val="00E33BB1"/>
    <w:rsid w:val="00E37BF8"/>
    <w:rsid w:val="00E43344"/>
    <w:rsid w:val="00E45E74"/>
    <w:rsid w:val="00E51895"/>
    <w:rsid w:val="00E567E1"/>
    <w:rsid w:val="00E57868"/>
    <w:rsid w:val="00E61E1B"/>
    <w:rsid w:val="00E635CF"/>
    <w:rsid w:val="00E6645D"/>
    <w:rsid w:val="00E73FA3"/>
    <w:rsid w:val="00E8435B"/>
    <w:rsid w:val="00E851BD"/>
    <w:rsid w:val="00E86DF6"/>
    <w:rsid w:val="00E906B3"/>
    <w:rsid w:val="00E93317"/>
    <w:rsid w:val="00EA156F"/>
    <w:rsid w:val="00EB2FC0"/>
    <w:rsid w:val="00EB4A41"/>
    <w:rsid w:val="00EC015B"/>
    <w:rsid w:val="00EC1EC6"/>
    <w:rsid w:val="00ED7748"/>
    <w:rsid w:val="00EE04A8"/>
    <w:rsid w:val="00EE303E"/>
    <w:rsid w:val="00EE70CD"/>
    <w:rsid w:val="00EF2A76"/>
    <w:rsid w:val="00EF7752"/>
    <w:rsid w:val="00EF7AB5"/>
    <w:rsid w:val="00EF7CCE"/>
    <w:rsid w:val="00F00CF5"/>
    <w:rsid w:val="00F01CE5"/>
    <w:rsid w:val="00F05EA5"/>
    <w:rsid w:val="00F108F3"/>
    <w:rsid w:val="00F119D0"/>
    <w:rsid w:val="00F20B54"/>
    <w:rsid w:val="00F2257E"/>
    <w:rsid w:val="00F23CA0"/>
    <w:rsid w:val="00F25FDF"/>
    <w:rsid w:val="00F26688"/>
    <w:rsid w:val="00F367AD"/>
    <w:rsid w:val="00F47B7F"/>
    <w:rsid w:val="00F51D73"/>
    <w:rsid w:val="00F54384"/>
    <w:rsid w:val="00F56A28"/>
    <w:rsid w:val="00F5720B"/>
    <w:rsid w:val="00F615CE"/>
    <w:rsid w:val="00F772A8"/>
    <w:rsid w:val="00F80358"/>
    <w:rsid w:val="00F82D0B"/>
    <w:rsid w:val="00F902BE"/>
    <w:rsid w:val="00F906EA"/>
    <w:rsid w:val="00F9256B"/>
    <w:rsid w:val="00F94936"/>
    <w:rsid w:val="00FA64F5"/>
    <w:rsid w:val="00FA6CF7"/>
    <w:rsid w:val="00FB0D50"/>
    <w:rsid w:val="00FB1BD4"/>
    <w:rsid w:val="00FB644C"/>
    <w:rsid w:val="00FC0393"/>
    <w:rsid w:val="00FC2B52"/>
    <w:rsid w:val="00FC7E8E"/>
    <w:rsid w:val="00FD26D8"/>
    <w:rsid w:val="00FD4ABA"/>
    <w:rsid w:val="00FD55F8"/>
    <w:rsid w:val="00FD5DEF"/>
    <w:rsid w:val="00FD656F"/>
    <w:rsid w:val="00FE1BC4"/>
    <w:rsid w:val="00FE34E3"/>
    <w:rsid w:val="00FF5E05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B3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81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A73461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color w:val="000000"/>
      <w:sz w:val="28"/>
      <w:szCs w:val="20"/>
      <w:lang w:val="ru-RU" w:eastAsia="ru-RU"/>
    </w:rPr>
  </w:style>
  <w:style w:type="paragraph" w:styleId="4">
    <w:name w:val="heading 4"/>
    <w:basedOn w:val="a0"/>
    <w:next w:val="a0"/>
    <w:qFormat/>
    <w:rsid w:val="003066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73461"/>
    <w:rPr>
      <w:rFonts w:eastAsia="Calibri"/>
      <w:color w:val="000000"/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EB4A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B4A41"/>
  </w:style>
  <w:style w:type="paragraph" w:styleId="a7">
    <w:name w:val="footer"/>
    <w:basedOn w:val="a0"/>
    <w:link w:val="a8"/>
    <w:uiPriority w:val="99"/>
    <w:rsid w:val="00317964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4E5A6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4E5A6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rsid w:val="004E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c"/>
    <w:locked/>
    <w:rsid w:val="00306639"/>
    <w:rPr>
      <w:b/>
      <w:sz w:val="28"/>
      <w:lang w:val="ru-RU" w:eastAsia="ru-RU" w:bidi="ar-SA"/>
    </w:rPr>
  </w:style>
  <w:style w:type="paragraph" w:styleId="ac">
    <w:name w:val="Body Text"/>
    <w:basedOn w:val="a0"/>
    <w:link w:val="ab"/>
    <w:rsid w:val="0030663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ad">
    <w:name w:val="Body Text Indent"/>
    <w:basedOn w:val="a0"/>
    <w:rsid w:val="00306639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2">
    <w:name w:val="Body Text Indent 2"/>
    <w:basedOn w:val="a0"/>
    <w:rsid w:val="00306639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ae">
    <w:name w:val="Документ"/>
    <w:basedOn w:val="a0"/>
    <w:rsid w:val="0030663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">
    <w:name w:val="Balloon Text"/>
    <w:basedOn w:val="a0"/>
    <w:link w:val="af0"/>
    <w:rsid w:val="009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76DDF"/>
    <w:rPr>
      <w:rFonts w:ascii="Tahoma" w:hAnsi="Tahoma" w:cs="Tahoma"/>
      <w:sz w:val="16"/>
      <w:szCs w:val="16"/>
      <w:lang w:val="en-US" w:eastAsia="en-US"/>
    </w:rPr>
  </w:style>
  <w:style w:type="paragraph" w:customStyle="1" w:styleId="af1">
    <w:name w:val="Прижатый влево"/>
    <w:basedOn w:val="a0"/>
    <w:next w:val="a0"/>
    <w:uiPriority w:val="99"/>
    <w:rsid w:val="0091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A915E6"/>
    <w:pPr>
      <w:ind w:left="720"/>
      <w:contextualSpacing/>
    </w:pPr>
  </w:style>
  <w:style w:type="paragraph" w:styleId="a">
    <w:name w:val="Title"/>
    <w:basedOn w:val="a0"/>
    <w:next w:val="a0"/>
    <w:link w:val="af3"/>
    <w:autoRedefine/>
    <w:qFormat/>
    <w:rsid w:val="00A915E6"/>
    <w:pPr>
      <w:numPr>
        <w:numId w:val="14"/>
      </w:numPr>
      <w:tabs>
        <w:tab w:val="left" w:pos="993"/>
      </w:tabs>
      <w:spacing w:before="240" w:after="60" w:line="240" w:lineRule="auto"/>
      <w:ind w:left="0" w:firstLine="570"/>
      <w:jc w:val="both"/>
      <w:outlineLvl w:val="0"/>
    </w:pPr>
    <w:rPr>
      <w:rFonts w:ascii="Times New Roman" w:hAnsi="Times New Roman"/>
      <w:b/>
      <w:bCs/>
      <w:kern w:val="28"/>
      <w:sz w:val="24"/>
      <w:szCs w:val="32"/>
      <w:lang w:val="ru-RU" w:eastAsia="ru-RU"/>
    </w:rPr>
  </w:style>
  <w:style w:type="character" w:customStyle="1" w:styleId="af3">
    <w:name w:val="Название Знак"/>
    <w:basedOn w:val="a1"/>
    <w:link w:val="a"/>
    <w:rsid w:val="00A915E6"/>
    <w:rPr>
      <w:b/>
      <w:bCs/>
      <w:kern w:val="28"/>
      <w:sz w:val="24"/>
      <w:szCs w:val="32"/>
    </w:rPr>
  </w:style>
  <w:style w:type="paragraph" w:styleId="af4">
    <w:name w:val="Body Text First Indent"/>
    <w:basedOn w:val="ac"/>
    <w:link w:val="af5"/>
    <w:rsid w:val="00A915E6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  <w:lang w:val="en-US" w:eastAsia="en-US"/>
    </w:rPr>
  </w:style>
  <w:style w:type="character" w:customStyle="1" w:styleId="af5">
    <w:name w:val="Красная строка Знак"/>
    <w:basedOn w:val="ab"/>
    <w:link w:val="af4"/>
    <w:rsid w:val="00A915E6"/>
    <w:rPr>
      <w:rFonts w:ascii="Calibri" w:hAnsi="Calibri"/>
      <w:b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81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1">
    <w:name w:val="s_1"/>
    <w:basedOn w:val="a0"/>
    <w:rsid w:val="0087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Hyperlink"/>
    <w:basedOn w:val="a1"/>
    <w:uiPriority w:val="99"/>
    <w:unhideWhenUsed/>
    <w:rsid w:val="00871BBA"/>
    <w:rPr>
      <w:color w:val="0000FF"/>
      <w:u w:val="single"/>
    </w:rPr>
  </w:style>
  <w:style w:type="character" w:styleId="af7">
    <w:name w:val="Emphasis"/>
    <w:basedOn w:val="a1"/>
    <w:uiPriority w:val="20"/>
    <w:qFormat/>
    <w:rsid w:val="00B54A08"/>
    <w:rPr>
      <w:i/>
      <w:iCs/>
    </w:rPr>
  </w:style>
  <w:style w:type="paragraph" w:customStyle="1" w:styleId="af8">
    <w:name w:val="Заголовок статьи"/>
    <w:basedOn w:val="a0"/>
    <w:next w:val="a0"/>
    <w:uiPriority w:val="99"/>
    <w:rsid w:val="007F6D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A2E55"/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79554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1600</Words>
  <Characters>12123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  ТАМБОВСКОЙ ОБЛАСТИ</vt:lpstr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  ТАМБОВСКОЙ ОБЛАСТИ</dc:title>
  <dc:creator>KSP6</dc:creator>
  <cp:lastModifiedBy>Кононенко</cp:lastModifiedBy>
  <cp:revision>151</cp:revision>
  <cp:lastPrinted>2018-06-22T06:32:00Z</cp:lastPrinted>
  <dcterms:created xsi:type="dcterms:W3CDTF">2017-12-14T00:38:00Z</dcterms:created>
  <dcterms:modified xsi:type="dcterms:W3CDTF">2019-01-28T01:17:00Z</dcterms:modified>
</cp:coreProperties>
</file>