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03" w:rsidRDefault="007C5703" w:rsidP="007C5703">
      <w:pPr>
        <w:autoSpaceDE w:val="0"/>
        <w:autoSpaceDN w:val="0"/>
        <w:adjustRightInd w:val="0"/>
        <w:spacing w:line="240" w:lineRule="auto"/>
        <w:jc w:val="center"/>
        <w:rPr>
          <w:rFonts w:ascii="Arial" w:hAnsi="Arial" w:cs="Arial"/>
          <w:sz w:val="20"/>
          <w:szCs w:val="20"/>
        </w:rPr>
      </w:pPr>
      <w:r>
        <w:rPr>
          <w:rFonts w:ascii="Arial" w:hAnsi="Arial" w:cs="Arial"/>
          <w:sz w:val="20"/>
          <w:szCs w:val="20"/>
        </w:rPr>
        <w:t>II. ПОДПРОГРАММА</w:t>
      </w:r>
    </w:p>
    <w:p w:rsidR="007C5703" w:rsidRDefault="007C5703" w:rsidP="007C5703">
      <w:pPr>
        <w:autoSpaceDE w:val="0"/>
        <w:autoSpaceDN w:val="0"/>
        <w:adjustRightInd w:val="0"/>
        <w:spacing w:line="240" w:lineRule="auto"/>
        <w:jc w:val="center"/>
        <w:rPr>
          <w:rFonts w:ascii="Arial" w:hAnsi="Arial" w:cs="Arial"/>
          <w:sz w:val="20"/>
          <w:szCs w:val="20"/>
        </w:rPr>
      </w:pPr>
      <w:r>
        <w:rPr>
          <w:rFonts w:ascii="Arial" w:hAnsi="Arial" w:cs="Arial"/>
          <w:sz w:val="20"/>
          <w:szCs w:val="20"/>
        </w:rPr>
        <w:t>"ОБЕСПЕЧЕНИЕ ЖИЛЬЕМ МОЛОДЫХ СЕМЕЙ"</w:t>
      </w:r>
    </w:p>
    <w:p w:rsidR="007C5703" w:rsidRDefault="007C5703" w:rsidP="007C5703">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5703" w:rsidTr="00C27196">
        <w:trPr>
          <w:jc w:val="center"/>
        </w:trPr>
        <w:tc>
          <w:tcPr>
            <w:tcW w:w="10147" w:type="dxa"/>
            <w:tcBorders>
              <w:left w:val="single" w:sz="24" w:space="0" w:color="CED3F1"/>
              <w:right w:val="single" w:sz="24" w:space="0" w:color="F4F3F8"/>
            </w:tcBorders>
            <w:shd w:val="clear" w:color="auto" w:fill="F4F3F8"/>
          </w:tcPr>
          <w:p w:rsidR="007C5703" w:rsidRDefault="007C5703" w:rsidP="00C271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C5703" w:rsidRDefault="007C5703" w:rsidP="00C27196">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Белогорска</w:t>
            </w:r>
            <w:proofErr w:type="gramEnd"/>
          </w:p>
          <w:p w:rsidR="007C5703" w:rsidRDefault="007C5703" w:rsidP="00C271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24.02.2015 </w:t>
            </w:r>
            <w:hyperlink r:id="rId5" w:history="1">
              <w:r>
                <w:rPr>
                  <w:rFonts w:ascii="Arial" w:hAnsi="Arial" w:cs="Arial"/>
                  <w:color w:val="0000FF"/>
                  <w:sz w:val="20"/>
                  <w:szCs w:val="20"/>
                </w:rPr>
                <w:t>N 321</w:t>
              </w:r>
            </w:hyperlink>
            <w:r>
              <w:rPr>
                <w:rFonts w:ascii="Arial" w:hAnsi="Arial" w:cs="Arial"/>
                <w:color w:val="392C69"/>
                <w:sz w:val="20"/>
                <w:szCs w:val="20"/>
              </w:rPr>
              <w:t xml:space="preserve">, от 23.09.2015 </w:t>
            </w:r>
            <w:hyperlink r:id="rId6" w:history="1">
              <w:r>
                <w:rPr>
                  <w:rFonts w:ascii="Arial" w:hAnsi="Arial" w:cs="Arial"/>
                  <w:color w:val="0000FF"/>
                  <w:sz w:val="20"/>
                  <w:szCs w:val="20"/>
                </w:rPr>
                <w:t>N 1709</w:t>
              </w:r>
            </w:hyperlink>
            <w:r>
              <w:rPr>
                <w:rFonts w:ascii="Arial" w:hAnsi="Arial" w:cs="Arial"/>
                <w:color w:val="392C69"/>
                <w:sz w:val="20"/>
                <w:szCs w:val="20"/>
              </w:rPr>
              <w:t>,</w:t>
            </w:r>
          </w:p>
          <w:p w:rsidR="007C5703" w:rsidRDefault="007C5703" w:rsidP="00C271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18.12.2015 </w:t>
            </w:r>
            <w:hyperlink r:id="rId7" w:history="1">
              <w:r>
                <w:rPr>
                  <w:rFonts w:ascii="Arial" w:hAnsi="Arial" w:cs="Arial"/>
                  <w:color w:val="0000FF"/>
                  <w:sz w:val="20"/>
                  <w:szCs w:val="20"/>
                </w:rPr>
                <w:t>N 2198</w:t>
              </w:r>
            </w:hyperlink>
            <w:r>
              <w:rPr>
                <w:rFonts w:ascii="Arial" w:hAnsi="Arial" w:cs="Arial"/>
                <w:color w:val="392C69"/>
                <w:sz w:val="20"/>
                <w:szCs w:val="20"/>
              </w:rPr>
              <w:t xml:space="preserve">, от 28.12.2015 </w:t>
            </w:r>
            <w:hyperlink r:id="rId8" w:history="1">
              <w:r>
                <w:rPr>
                  <w:rFonts w:ascii="Arial" w:hAnsi="Arial" w:cs="Arial"/>
                  <w:color w:val="0000FF"/>
                  <w:sz w:val="20"/>
                  <w:szCs w:val="20"/>
                </w:rPr>
                <w:t>N 2287</w:t>
              </w:r>
            </w:hyperlink>
            <w:r>
              <w:rPr>
                <w:rFonts w:ascii="Arial" w:hAnsi="Arial" w:cs="Arial"/>
                <w:color w:val="392C69"/>
                <w:sz w:val="20"/>
                <w:szCs w:val="20"/>
              </w:rPr>
              <w:t>,</w:t>
            </w:r>
          </w:p>
          <w:p w:rsidR="007C5703" w:rsidRDefault="007C5703" w:rsidP="00C271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01.06.2016 </w:t>
            </w:r>
            <w:hyperlink r:id="rId9" w:history="1">
              <w:r>
                <w:rPr>
                  <w:rFonts w:ascii="Arial" w:hAnsi="Arial" w:cs="Arial"/>
                  <w:color w:val="0000FF"/>
                  <w:sz w:val="20"/>
                  <w:szCs w:val="20"/>
                </w:rPr>
                <w:t>N 712</w:t>
              </w:r>
            </w:hyperlink>
            <w:r>
              <w:rPr>
                <w:rFonts w:ascii="Arial" w:hAnsi="Arial" w:cs="Arial"/>
                <w:color w:val="392C69"/>
                <w:sz w:val="20"/>
                <w:szCs w:val="20"/>
              </w:rPr>
              <w:t xml:space="preserve">, от 14.12.2016 </w:t>
            </w:r>
            <w:hyperlink r:id="rId10" w:history="1">
              <w:r>
                <w:rPr>
                  <w:rFonts w:ascii="Arial" w:hAnsi="Arial" w:cs="Arial"/>
                  <w:color w:val="0000FF"/>
                  <w:sz w:val="20"/>
                  <w:szCs w:val="20"/>
                </w:rPr>
                <w:t>N 1992</w:t>
              </w:r>
            </w:hyperlink>
            <w:r>
              <w:rPr>
                <w:rFonts w:ascii="Arial" w:hAnsi="Arial" w:cs="Arial"/>
                <w:color w:val="392C69"/>
                <w:sz w:val="20"/>
                <w:szCs w:val="20"/>
              </w:rPr>
              <w:t>,</w:t>
            </w:r>
          </w:p>
          <w:p w:rsidR="007C5703" w:rsidRDefault="007C5703" w:rsidP="00C2719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06.06.2017 </w:t>
            </w:r>
            <w:hyperlink r:id="rId11" w:history="1">
              <w:r>
                <w:rPr>
                  <w:rFonts w:ascii="Arial" w:hAnsi="Arial" w:cs="Arial"/>
                  <w:color w:val="0000FF"/>
                  <w:sz w:val="20"/>
                  <w:szCs w:val="20"/>
                </w:rPr>
                <w:t>N 1060</w:t>
              </w:r>
            </w:hyperlink>
            <w:r>
              <w:rPr>
                <w:rFonts w:ascii="Arial" w:hAnsi="Arial" w:cs="Arial"/>
                <w:color w:val="0000FF"/>
                <w:sz w:val="20"/>
                <w:szCs w:val="20"/>
              </w:rPr>
              <w:t xml:space="preserve">, </w:t>
            </w:r>
            <w:r w:rsidRPr="00004DF2">
              <w:rPr>
                <w:rFonts w:ascii="Arial" w:hAnsi="Arial" w:cs="Arial"/>
                <w:color w:val="000000" w:themeColor="text1"/>
                <w:sz w:val="20"/>
                <w:szCs w:val="20"/>
              </w:rPr>
              <w:t>от 14.03.2018</w:t>
            </w:r>
            <w:r>
              <w:rPr>
                <w:rFonts w:ascii="Arial" w:hAnsi="Arial" w:cs="Arial"/>
                <w:color w:val="0000FF"/>
                <w:sz w:val="20"/>
                <w:szCs w:val="20"/>
              </w:rPr>
              <w:t xml:space="preserve"> № 349</w:t>
            </w:r>
            <w:r>
              <w:rPr>
                <w:rFonts w:ascii="Arial" w:hAnsi="Arial" w:cs="Arial"/>
                <w:color w:val="392C69"/>
                <w:sz w:val="20"/>
                <w:szCs w:val="20"/>
              </w:rPr>
              <w:t>)</w:t>
            </w:r>
          </w:p>
        </w:tc>
      </w:tr>
    </w:tbl>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Паспорт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948"/>
        <w:gridCol w:w="5443"/>
      </w:tblGrid>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жильем молодых семей</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Координатор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МКУ "Комитет имущественных отношений администрации г. Белогорск"</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МКУ "Комитет имущественных отношений администрации г. Белогорск"</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Цель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Государственная поддержка в решении жилищной проблемы молодых семей, признанных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нуждающимися в жилых помещениях</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Задача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привлечения молодыми семьями собственных средств, дополнительных финансовых сре</w:t>
            </w:r>
            <w:proofErr w:type="gramStart"/>
            <w:r>
              <w:rPr>
                <w:rFonts w:ascii="Arial" w:hAnsi="Arial" w:cs="Arial"/>
                <w:sz w:val="20"/>
                <w:szCs w:val="20"/>
              </w:rPr>
              <w:t>дств кр</w:t>
            </w:r>
            <w:proofErr w:type="gramEnd"/>
            <w:r>
              <w:rPr>
                <w:rFonts w:ascii="Arial" w:hAnsi="Arial" w:cs="Arial"/>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2015 - 2020 годы</w:t>
            </w:r>
          </w:p>
        </w:tc>
      </w:tr>
      <w:tr w:rsidR="007C5703" w:rsidTr="00C27196">
        <w:tc>
          <w:tcPr>
            <w:tcW w:w="680" w:type="dxa"/>
            <w:tcBorders>
              <w:left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2948" w:type="dxa"/>
            <w:tcBorders>
              <w:left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w:t>
            </w:r>
          </w:p>
        </w:tc>
        <w:tc>
          <w:tcPr>
            <w:tcW w:w="5443" w:type="dxa"/>
            <w:tcBorders>
              <w:left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Планируемый объем финансирования за счет средств местных бюджетов составляет 1500 тыс. рублей, в том числе по годам:</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2015 - 250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2016 - 250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2017 - 250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2018 - 250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2019 - 250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2020 - 250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Планируемый объем финансирования за счет средств собственных (заемных) сре</w:t>
            </w:r>
            <w:proofErr w:type="gramStart"/>
            <w:r>
              <w:rPr>
                <w:rFonts w:ascii="Arial" w:hAnsi="Arial" w:cs="Arial"/>
                <w:sz w:val="20"/>
                <w:szCs w:val="20"/>
              </w:rPr>
              <w:t>дств гр</w:t>
            </w:r>
            <w:proofErr w:type="gramEnd"/>
            <w:r>
              <w:rPr>
                <w:rFonts w:ascii="Arial" w:hAnsi="Arial" w:cs="Arial"/>
                <w:sz w:val="20"/>
                <w:szCs w:val="20"/>
              </w:rPr>
              <w:t>аждан составляет 8265 тыс. рублей, в том числе по годам:</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2015 - 399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2016 - 3016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2017 - 350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2018 - 1500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2019 - 1500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2020 - 1500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из средств федерального бюджета составляет 1865,0 тыс. рублей, в том числе по годам:</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2015 г. - 365,0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2016 г. - 1000,0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2017 г. - 500,0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Объем бюджетных ассигнований из средств областного бюджета составляет 2149,886 тыс. рублей, в том числе по годам:</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2015 г. - 418,578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2016 г. - 1131,627 тыс. рублей;</w:t>
            </w:r>
          </w:p>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2017 г. - 599,681 тыс. рублей</w:t>
            </w:r>
          </w:p>
        </w:tc>
      </w:tr>
      <w:tr w:rsidR="007C5703" w:rsidTr="00C27196">
        <w:tc>
          <w:tcPr>
            <w:tcW w:w="68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2948"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Ожидаемые конечные результаты реализации подпрограммы</w:t>
            </w:r>
          </w:p>
        </w:tc>
        <w:tc>
          <w:tcPr>
            <w:tcW w:w="5443"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нуждающимися в улучшении жилищных условий, в 2020 году составит 15%</w:t>
            </w:r>
          </w:p>
        </w:tc>
      </w:tr>
    </w:tbl>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Характеристика сферы реализации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Подпрограмма "Обеспечение жильем молодых семей" (далее - подпрограмма) является частью муниципальной программы "Обеспечение доступным и качественным жильем населения г. Белогорск на 2015 - 2020 годы".</w:t>
      </w:r>
    </w:p>
    <w:p w:rsidR="007C5703" w:rsidRPr="00943E6C" w:rsidRDefault="007C5703" w:rsidP="007C5703">
      <w:pPr>
        <w:autoSpaceDE w:val="0"/>
        <w:autoSpaceDN w:val="0"/>
        <w:adjustRightInd w:val="0"/>
        <w:spacing w:after="0" w:line="240" w:lineRule="auto"/>
        <w:ind w:firstLine="540"/>
        <w:jc w:val="both"/>
        <w:rPr>
          <w:rFonts w:ascii="Arial" w:hAnsi="Arial" w:cs="Arial"/>
          <w:sz w:val="20"/>
          <w:szCs w:val="20"/>
        </w:rPr>
      </w:pPr>
      <w:proofErr w:type="gramStart"/>
      <w:r w:rsidRPr="00943E6C">
        <w:rPr>
          <w:rFonts w:ascii="Arial" w:hAnsi="Arial" w:cs="Arial"/>
          <w:sz w:val="20"/>
          <w:szCs w:val="20"/>
        </w:rPr>
        <w:t xml:space="preserve">Разработка и реализация подпрограммы на территории муниципального образования г. Белогорск осуществляются в соответствии с </w:t>
      </w:r>
      <w:hyperlink r:id="rId12" w:history="1">
        <w:r w:rsidRPr="00943E6C">
          <w:rPr>
            <w:rFonts w:ascii="Arial" w:hAnsi="Arial" w:cs="Arial"/>
            <w:sz w:val="20"/>
            <w:szCs w:val="20"/>
          </w:rPr>
          <w:t>подпрограммой</w:t>
        </w:r>
      </w:hyperlink>
      <w:r w:rsidRPr="00943E6C">
        <w:rPr>
          <w:rFonts w:ascii="Arial" w:hAnsi="Arial" w:cs="Arial"/>
          <w:sz w:val="20"/>
          <w:szCs w:val="20"/>
        </w:rP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на 2014-2020 годы», утвержденной постановлением Правительства Амурской области от 25 сентября 2013 г. № 446, подпрограммой "Обеспечение жильем молодых семей" государственной программы Российской Федерации «Обеспечение доступным и комфортным жильем и</w:t>
      </w:r>
      <w:proofErr w:type="gramEnd"/>
      <w:r w:rsidRPr="00943E6C">
        <w:rPr>
          <w:rFonts w:ascii="Arial" w:hAnsi="Arial" w:cs="Arial"/>
          <w:sz w:val="20"/>
          <w:szCs w:val="20"/>
        </w:rPr>
        <w:t xml:space="preserve"> коммунальными услугами граждан Российской Федерации», утвержденной постановлением Правительства Российской Федерации от 30 декабря 2017 г. № 1710</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Ключевыми направлениями подпрограммы являются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города.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 Белогорск на 1 января 2013 года более 265 молодых семей состоят на учете в качестве нуждающихся в жилых помещениях.</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Несмотря на то, что в 2009 - 2013 годах из местного бюджета на реализацию программных мероприятий было направлено более 2366 тыс. рублей, большинство молодых семей г. Белогорск по-прежнему не имеют возможности решить жилищную проблему.</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 обеспечения молодых семей жильем основан на предоставлении мер государственной поддержки в форме социальных выплат.</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молодой семьи участником подпрограммы в установленном порядке число молодых семей, обеспеченных жильем, составит к концу реализации подпрограммы 40 семей. При этом при рождении (усыновлении) одного ребенка предоставляется дополнительная социальная выплата молодой семье - участнице подпрограммы, что дополнительно позволит снизить затраты на улучшение жилищных условий молодой семьи.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Прогнозируемый спрос на жилье со стороны молодых семей будет способствовать увеличению объемов строительства жилья в целом по Амурской области, что позволит снизить стоимость 1 кв. метра жилья в Амурской области.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города позволит сформировать экономически активный слой населения.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Таким образом, необходимость разработки и реализации подпрограммы обусловлена тем, что эта проблема: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носит межотраслевой и межведомственный характер и не может быть </w:t>
      </w:r>
      <w:proofErr w:type="gramStart"/>
      <w:r>
        <w:rPr>
          <w:rFonts w:ascii="Arial" w:hAnsi="Arial" w:cs="Arial"/>
          <w:sz w:val="20"/>
          <w:szCs w:val="20"/>
        </w:rPr>
        <w:t>решена</w:t>
      </w:r>
      <w:proofErr w:type="gramEnd"/>
      <w:r>
        <w:rPr>
          <w:rFonts w:ascii="Arial" w:hAnsi="Arial" w:cs="Arial"/>
          <w:sz w:val="20"/>
          <w:szCs w:val="20"/>
        </w:rPr>
        <w:t xml:space="preserve"> без участия федерального центра;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 может быть </w:t>
      </w:r>
      <w:proofErr w:type="gramStart"/>
      <w:r>
        <w:rPr>
          <w:rFonts w:ascii="Arial" w:hAnsi="Arial" w:cs="Arial"/>
          <w:sz w:val="20"/>
          <w:szCs w:val="20"/>
        </w:rPr>
        <w:t>решена</w:t>
      </w:r>
      <w:proofErr w:type="gramEnd"/>
      <w:r>
        <w:rPr>
          <w:rFonts w:ascii="Arial" w:hAnsi="Arial" w:cs="Arial"/>
          <w:sz w:val="20"/>
          <w:szCs w:val="20"/>
        </w:rPr>
        <w:t xml:space="preserve"> в пределах одного финансового года и требует бюджетных расходов в течение нескольких лет;</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носит комплексный характер и ее решение окажет влияние на рост социального благополучия и общее экономическое развитие.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Решать обозначенные проблемы целесообразно программно-целевым методом, что позволит разработать и реализовать комплекс взаимосвязанных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Амурской области.</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Приоритеты в сфере реализации подпрограммы,</w:t>
      </w:r>
    </w:p>
    <w:p w:rsidR="007C5703" w:rsidRDefault="007C5703" w:rsidP="007C570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цели и задачи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мероприятий подпрограммы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Приоритеты в сфере реализации подпрограммы определяются целями и задачами приоритетного национального проекта "Доступное и комфортное жилье - гражданам России" </w:t>
      </w:r>
      <w:r w:rsidRPr="00774794">
        <w:rPr>
          <w:rFonts w:ascii="Arial" w:hAnsi="Arial" w:cs="Arial"/>
          <w:sz w:val="20"/>
          <w:szCs w:val="20"/>
        </w:rPr>
        <w:t>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Arial" w:hAnsi="Arial" w:cs="Arial"/>
          <w:sz w:val="20"/>
          <w:szCs w:val="20"/>
        </w:rPr>
        <w:t xml:space="preserve">, </w:t>
      </w:r>
      <w:hyperlink r:id="rId13"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w:t>
      </w:r>
      <w:proofErr w:type="gramEnd"/>
      <w:r>
        <w:rPr>
          <w:rFonts w:ascii="Arial" w:hAnsi="Arial" w:cs="Arial"/>
          <w:sz w:val="20"/>
          <w:szCs w:val="20"/>
        </w:rPr>
        <w:t xml:space="preserve">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этих документов 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нуждающимися в жилых помещениях.</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поставленной цели предусмотрено решение следующей задачи: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создание условий для привлечения молодыми семьями собственных средств, дополнительных финансовых сре</w:t>
      </w:r>
      <w:proofErr w:type="gramStart"/>
      <w:r>
        <w:rPr>
          <w:rFonts w:ascii="Arial" w:hAnsi="Arial" w:cs="Arial"/>
          <w:sz w:val="20"/>
          <w:szCs w:val="20"/>
        </w:rPr>
        <w:t>дств кр</w:t>
      </w:r>
      <w:proofErr w:type="gramEnd"/>
      <w:r>
        <w:rPr>
          <w:rFonts w:ascii="Arial" w:hAnsi="Arial" w:cs="Arial"/>
          <w:sz w:val="20"/>
          <w:szCs w:val="20"/>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Описание системы мероприятий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решение задач и достижение цели подпрограммы ориентировано основное мероприятие: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Оказание финансовой поддержки молодым семьям в целях улучшения жилищных условий.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основного мероприятия планируется выполнить следующие мероприятия: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Предоставление социальных выплат молодым семьям на приобретение (строительство) жилья.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Организационные мероприятия на муниципальном уровне предусматривают:</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ответственного исполнителя по реализации программных мероприятий.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собственной муниципальной программы.</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Признание молодых семей нуждающимися в жилых помещениях в порядке, установленном требованиями подпрограммы.</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списков молодых семей для участия в подпрограмме.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Определение ежегодного объема средств, выделяемых из местного бюджета на реализацию мероприятий подпрограммы.</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Выдача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Перечисление бюджетных средств, предназначенных для предоставления социальных выплат, на банковский счет уполномоченного банка.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Информирование молодых семей, состоящих на учете в органах местного самоуправления, об изменениях в Правилах предоставления молодым семьям социальных выплат на приобретение (строительство) индивидуального жилья.</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Ресурсное обеспечение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Планируемый объем финансирования за счет средств местного бюджета составляет 3750 тыс. рублей, в том числе по годам:</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2015 - 250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2016 - 250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2017 - 250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2018 - 1000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2019 - 1000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2020 - 1000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Планируемый объем финансирования за счет средств собственных (заемных) сре</w:t>
      </w:r>
      <w:proofErr w:type="gramStart"/>
      <w:r>
        <w:rPr>
          <w:rFonts w:ascii="Arial" w:hAnsi="Arial" w:cs="Arial"/>
          <w:sz w:val="20"/>
          <w:szCs w:val="20"/>
        </w:rPr>
        <w:t>дств гр</w:t>
      </w:r>
      <w:proofErr w:type="gramEnd"/>
      <w:r>
        <w:rPr>
          <w:rFonts w:ascii="Arial" w:hAnsi="Arial" w:cs="Arial"/>
          <w:sz w:val="20"/>
          <w:szCs w:val="20"/>
        </w:rPr>
        <w:t>аждан составляет 8265 тыс. рублей, в том числе по годам:</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2015 - 399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2016 - 3016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2017 - 350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2018 - 1500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2019 - 1500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2020 - 1500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из средств федерального бюджета составляет 1865,0 тыс. рублей, в том числе по годам:</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2015 г. - 365,0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2016 г. - 1000,0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 г. - 500,0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2018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2019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2020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бюджетных ассигнований из средств областного бюджета составляет 2149,886 тыс. рублей, в том числе по годам:</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2015 г. - 418,578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2016 г. - 1131,627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2017 г. - 599,681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2018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2019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2020 г. - 0 тыс. рублей.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финансирования подлежат ежегодному уточнению исходя из возможностей местного бюджета на очередной финансовый год и плановый период.</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Социальная выплата предоставляется молодым семьям, принявшим решение об участии в подпрограмме, осуществляется в соответствии с </w:t>
      </w:r>
      <w:hyperlink r:id="rId14" w:history="1">
        <w:r>
          <w:rPr>
            <w:rFonts w:ascii="Arial" w:hAnsi="Arial" w:cs="Arial"/>
            <w:color w:val="0000FF"/>
            <w:sz w:val="20"/>
            <w:szCs w:val="20"/>
          </w:rPr>
          <w:t>Правилами</w:t>
        </w:r>
      </w:hyperlink>
      <w:r>
        <w:rPr>
          <w:rFonts w:ascii="Arial" w:hAnsi="Arial" w:cs="Arial"/>
          <w:sz w:val="20"/>
          <w:szCs w:val="20"/>
        </w:rPr>
        <w:t xml:space="preserve"> предоставления молодым семьям социальных выплат на приобретение (строительство) жилья для их использования, в соответствии с приложением N 1 к настоящей программе.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Остаток неиспользованных в текущем финансовом году средств социальных выплат, выделяемых в рамках реализации подпрограммы, потребность в которых сохраняется, подлежит использованию в очередном финансовом году в порядке, установленном законодательством Российской Федерации.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Pr>
          <w:rFonts w:ascii="Arial" w:hAnsi="Arial" w:cs="Arial"/>
          <w:sz w:val="20"/>
          <w:szCs w:val="20"/>
        </w:rPr>
        <w:t>софинансировании</w:t>
      </w:r>
      <w:proofErr w:type="spellEnd"/>
      <w:r>
        <w:rPr>
          <w:rFonts w:ascii="Arial" w:hAnsi="Arial" w:cs="Arial"/>
          <w:sz w:val="20"/>
          <w:szCs w:val="20"/>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before="200" w:after="0" w:line="240" w:lineRule="auto"/>
        <w:jc w:val="center"/>
        <w:outlineLvl w:val="1"/>
        <w:rPr>
          <w:rFonts w:ascii="Arial" w:hAnsi="Arial" w:cs="Arial"/>
          <w:sz w:val="20"/>
          <w:szCs w:val="20"/>
        </w:rPr>
      </w:pPr>
    </w:p>
    <w:p w:rsidR="007C5703" w:rsidRDefault="007C5703" w:rsidP="007C5703">
      <w:pPr>
        <w:autoSpaceDE w:val="0"/>
        <w:autoSpaceDN w:val="0"/>
        <w:adjustRightInd w:val="0"/>
        <w:spacing w:before="200" w:after="0" w:line="240" w:lineRule="auto"/>
        <w:jc w:val="center"/>
        <w:outlineLvl w:val="1"/>
        <w:rPr>
          <w:rFonts w:ascii="Arial" w:hAnsi="Arial" w:cs="Arial"/>
          <w:sz w:val="20"/>
          <w:szCs w:val="20"/>
        </w:rPr>
      </w:pPr>
      <w:r>
        <w:rPr>
          <w:rFonts w:ascii="Arial" w:hAnsi="Arial" w:cs="Arial"/>
          <w:sz w:val="20"/>
          <w:szCs w:val="20"/>
        </w:rPr>
        <w:t>6. Планируемые показатели эффективности реализации</w:t>
      </w:r>
    </w:p>
    <w:p w:rsidR="007C5703" w:rsidRDefault="007C5703" w:rsidP="007C570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 и непосредственные</w:t>
      </w:r>
    </w:p>
    <w:p w:rsidR="007C5703" w:rsidRDefault="007C5703" w:rsidP="007C570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подпрограммы</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Показатели (индикаторы) подпрограммы соответствуют ее приоритетам, целям и задачам.</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(индикаторы) реализации подпрограммы в целом предназначены для оценки наиболее существенных результатов реализации подпрограммы.</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Эффективность реализации подпрограммы и </w:t>
      </w:r>
      <w:proofErr w:type="gramStart"/>
      <w:r>
        <w:rPr>
          <w:rFonts w:ascii="Arial" w:hAnsi="Arial" w:cs="Arial"/>
          <w:sz w:val="20"/>
          <w:szCs w:val="20"/>
        </w:rPr>
        <w:t>использования</w:t>
      </w:r>
      <w:proofErr w:type="gramEnd"/>
      <w:r>
        <w:rPr>
          <w:rFonts w:ascii="Arial" w:hAnsi="Arial" w:cs="Arial"/>
          <w:sz w:val="20"/>
          <w:szCs w:val="20"/>
        </w:rPr>
        <w:t xml:space="preserve"> выделенных на нее средств бюджетов всех уровней будет обеспечена за счет:</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исключения возможности нецелевого использования бюджетных средств;</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прозрачности использования бюджетных средств;</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регулирования порядка расчета размера и предоставления социальных выплат;</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адресного предоставления бюджетных средств;</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привлечения молодыми семьями собственных, кредитных и заемных сре</w:t>
      </w:r>
      <w:proofErr w:type="gramStart"/>
      <w:r>
        <w:rPr>
          <w:rFonts w:ascii="Arial" w:hAnsi="Arial" w:cs="Arial"/>
          <w:sz w:val="20"/>
          <w:szCs w:val="20"/>
        </w:rPr>
        <w:t>дств дл</w:t>
      </w:r>
      <w:proofErr w:type="gramEnd"/>
      <w:r>
        <w:rPr>
          <w:rFonts w:ascii="Arial" w:hAnsi="Arial" w:cs="Arial"/>
          <w:sz w:val="20"/>
          <w:szCs w:val="20"/>
        </w:rPr>
        <w:t>я приобретения жилья и строительства индивидуального жилого дома.</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реализации мер по обеспечению жильем молодых семей будет осуществляться на основе показателя: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данного показателя будет осуществляться по формуле:</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14:anchorId="3A742DD7" wp14:editId="160F5E96">
            <wp:extent cx="13335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r>
        <w:rPr>
          <w:rFonts w:ascii="Arial" w:hAnsi="Arial" w:cs="Arial"/>
          <w:sz w:val="20"/>
          <w:szCs w:val="20"/>
          <w:vertAlign w:val="subscript"/>
        </w:rPr>
        <w:t>мс</w:t>
      </w:r>
      <w:proofErr w:type="spellEnd"/>
      <w:r>
        <w:rPr>
          <w:rFonts w:ascii="Arial" w:hAnsi="Arial" w:cs="Arial"/>
          <w:sz w:val="20"/>
          <w:szCs w:val="20"/>
        </w:rPr>
        <w:t xml:space="preserve"> - доля молодых семей, улучшивших жилищные условия;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w:t>
      </w:r>
      <w:r>
        <w:rPr>
          <w:rFonts w:ascii="Arial" w:hAnsi="Arial" w:cs="Arial"/>
          <w:sz w:val="20"/>
          <w:szCs w:val="20"/>
          <w:vertAlign w:val="subscript"/>
        </w:rPr>
        <w:t>у</w:t>
      </w:r>
      <w:r>
        <w:rPr>
          <w:rFonts w:ascii="Arial" w:hAnsi="Arial" w:cs="Arial"/>
          <w:sz w:val="20"/>
          <w:szCs w:val="20"/>
        </w:rPr>
        <w:t xml:space="preserve">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н</w:t>
      </w:r>
      <w:proofErr w:type="spellEnd"/>
      <w:r>
        <w:rPr>
          <w:rFonts w:ascii="Arial" w:hAnsi="Arial" w:cs="Arial"/>
          <w:sz w:val="20"/>
          <w:szCs w:val="20"/>
        </w:rPr>
        <w:t xml:space="preserve"> - число молодых семей, признанных нуждающимися в улучшении жилищных условий.</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Pr>
          <w:rFonts w:ascii="Arial" w:hAnsi="Arial" w:cs="Arial"/>
          <w:sz w:val="20"/>
          <w:szCs w:val="20"/>
        </w:rPr>
        <w:t>порядке</w:t>
      </w:r>
      <w:proofErr w:type="gramEnd"/>
      <w:r>
        <w:rPr>
          <w:rFonts w:ascii="Arial" w:hAnsi="Arial" w:cs="Arial"/>
          <w:sz w:val="20"/>
          <w:szCs w:val="20"/>
        </w:rPr>
        <w:t xml:space="preserve"> нуждающимися в улучшении жилищных условий, в 2020 году составит 15%.</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Успешное выполнение мероприятий подпрограммы также позволит в 2015 - 2020 годах обеспечить:</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привлечение в жилищную сферу дополнительных финансовых сре</w:t>
      </w:r>
      <w:proofErr w:type="gramStart"/>
      <w:r>
        <w:rPr>
          <w:rFonts w:ascii="Arial" w:hAnsi="Arial" w:cs="Arial"/>
          <w:sz w:val="20"/>
          <w:szCs w:val="20"/>
        </w:rPr>
        <w:t>дств кр</w:t>
      </w:r>
      <w:proofErr w:type="gramEnd"/>
      <w:r>
        <w:rPr>
          <w:rFonts w:ascii="Arial" w:hAnsi="Arial" w:cs="Arial"/>
          <w:sz w:val="20"/>
          <w:szCs w:val="20"/>
        </w:rPr>
        <w:t>едитных и других организаций, предоставляющих кредиты и займы на приобретение жилья или строительство жилого дома, собственных средств граждан;</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и закрепление положительных демографических тенденций в обществе;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укрепление семейных отношений и снижение уровня социальной напряженности в обществе;</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развитие системы ипотечного жилищного кредитования.</w:t>
      </w:r>
    </w:p>
    <w:p w:rsidR="007C5703" w:rsidRDefault="007C5703" w:rsidP="007C570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Коэффициенты значимости показателей осуществляемых в рамках подпрограммы мероприятий представлены в </w:t>
      </w:r>
      <w:hyperlink w:anchor="Par206" w:history="1">
        <w:r>
          <w:rPr>
            <w:rFonts w:ascii="Arial" w:hAnsi="Arial" w:cs="Arial"/>
            <w:color w:val="0000FF"/>
            <w:sz w:val="20"/>
            <w:szCs w:val="20"/>
          </w:rPr>
          <w:t>таблице 1</w:t>
        </w:r>
      </w:hyperlink>
      <w:r>
        <w:rPr>
          <w:rFonts w:ascii="Arial" w:hAnsi="Arial" w:cs="Arial"/>
          <w:sz w:val="20"/>
          <w:szCs w:val="20"/>
        </w:rPr>
        <w:t>.</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right"/>
        <w:outlineLvl w:val="2"/>
        <w:rPr>
          <w:rFonts w:ascii="Arial" w:hAnsi="Arial" w:cs="Arial"/>
          <w:sz w:val="20"/>
          <w:szCs w:val="20"/>
        </w:rPr>
      </w:pPr>
    </w:p>
    <w:p w:rsidR="007C5703" w:rsidRDefault="007C5703" w:rsidP="007C5703">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7C5703" w:rsidRDefault="007C5703" w:rsidP="007C5703">
      <w:pPr>
        <w:autoSpaceDE w:val="0"/>
        <w:autoSpaceDN w:val="0"/>
        <w:adjustRightInd w:val="0"/>
        <w:spacing w:after="0" w:line="240" w:lineRule="auto"/>
        <w:jc w:val="center"/>
        <w:rPr>
          <w:rFonts w:ascii="Arial" w:hAnsi="Arial" w:cs="Arial"/>
          <w:sz w:val="20"/>
          <w:szCs w:val="20"/>
        </w:rPr>
      </w:pPr>
      <w:bookmarkStart w:id="0" w:name="Par206"/>
      <w:bookmarkEnd w:id="0"/>
      <w:r>
        <w:rPr>
          <w:rFonts w:ascii="Arial" w:hAnsi="Arial" w:cs="Arial"/>
          <w:sz w:val="20"/>
          <w:szCs w:val="20"/>
        </w:rPr>
        <w:t>Коэффициенты значимости основных мероприятий</w:t>
      </w:r>
    </w:p>
    <w:p w:rsidR="007C5703" w:rsidRDefault="007C5703" w:rsidP="007C5703">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964"/>
        <w:gridCol w:w="850"/>
        <w:gridCol w:w="1020"/>
        <w:gridCol w:w="964"/>
        <w:gridCol w:w="1020"/>
      </w:tblGrid>
      <w:tr w:rsidR="007C5703" w:rsidTr="00C27196">
        <w:tc>
          <w:tcPr>
            <w:tcW w:w="4252" w:type="dxa"/>
            <w:vMerge w:val="restart"/>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подпрограммы, мероприятия</w:t>
            </w:r>
          </w:p>
        </w:tc>
        <w:tc>
          <w:tcPr>
            <w:tcW w:w="4818" w:type="dxa"/>
            <w:gridSpan w:val="5"/>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планового показателя по годам реализации</w:t>
            </w:r>
          </w:p>
        </w:tc>
      </w:tr>
      <w:tr w:rsidR="007C5703" w:rsidTr="00C27196">
        <w:tc>
          <w:tcPr>
            <w:tcW w:w="4252" w:type="dxa"/>
            <w:vMerge/>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w:t>
            </w:r>
          </w:p>
        </w:tc>
        <w:tc>
          <w:tcPr>
            <w:tcW w:w="85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w:t>
            </w:r>
          </w:p>
        </w:tc>
      </w:tr>
      <w:tr w:rsidR="007C5703" w:rsidTr="00C27196">
        <w:tc>
          <w:tcPr>
            <w:tcW w:w="4252"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ПП 3 "Обеспечение жильем молодых семей"</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7C5703" w:rsidTr="00C27196">
        <w:tc>
          <w:tcPr>
            <w:tcW w:w="4252"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ОМ 3.1 "Оказание финансовой поддержки молодым семьям в целях улучшения жилищных условий"</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7C5703" w:rsidTr="00C27196">
        <w:tc>
          <w:tcPr>
            <w:tcW w:w="4252"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М 3.1.1 "Предоставление социальных выплат молодым семьям на приобретение (строительство) жилья"</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7C5703" w:rsidRDefault="007C5703" w:rsidP="00C2719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bl>
    <w:p w:rsidR="007C5703" w:rsidRDefault="007C5703" w:rsidP="007C5703">
      <w:pPr>
        <w:autoSpaceDE w:val="0"/>
        <w:autoSpaceDN w:val="0"/>
        <w:adjustRightInd w:val="0"/>
        <w:spacing w:after="0" w:line="240" w:lineRule="auto"/>
        <w:ind w:firstLine="540"/>
        <w:jc w:val="both"/>
        <w:rPr>
          <w:rFonts w:ascii="Arial" w:hAnsi="Arial" w:cs="Arial"/>
          <w:sz w:val="20"/>
          <w:szCs w:val="20"/>
        </w:rPr>
      </w:pPr>
    </w:p>
    <w:p w:rsidR="001B41B8" w:rsidRDefault="001B41B8">
      <w:bookmarkStart w:id="1" w:name="_GoBack"/>
      <w:bookmarkEnd w:id="1"/>
    </w:p>
    <w:sectPr w:rsidR="001B41B8" w:rsidSect="007C570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90"/>
    <w:rsid w:val="001B41B8"/>
    <w:rsid w:val="007C5703"/>
    <w:rsid w:val="008A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E42E49CF3F1E6A9A72841EA01B9B19A3852F54A17EE0A4998ACFF398B84CACFE8F4F9735B8AF5C721E3zEO4C" TargetMode="External"/><Relationship Id="rId13" Type="http://schemas.openxmlformats.org/officeDocument/2006/relationships/hyperlink" Target="consultantplus://offline/ref=017E42E49CF3F1E6A9A7364CFC6DE7B49B3105FB4117ED5817C7F7A26Ez8O2C" TargetMode="External"/><Relationship Id="rId3" Type="http://schemas.openxmlformats.org/officeDocument/2006/relationships/settings" Target="settings.xml"/><Relationship Id="rId7" Type="http://schemas.openxmlformats.org/officeDocument/2006/relationships/hyperlink" Target="consultantplus://offline/ref=017E42E49CF3F1E6A9A72841EA01B9B19A3852F54A17E00B4298ACFF398B84CACFE8F4F9735B8AF5C720E2zEO5C" TargetMode="External"/><Relationship Id="rId12" Type="http://schemas.openxmlformats.org/officeDocument/2006/relationships/hyperlink" Target="consultantplus://offline/ref=D15F87771189B4781AB1B2AB644ED8B9DC4AA094551ACAFE36E0960DFC4123725147DA389399FDzD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7E42E49CF3F1E6A9A72841EA01B9B19A3852F54A13EF074E98ACFF398B84CACFE8F4F9735B8AF5C720E7zEO9C" TargetMode="External"/><Relationship Id="rId11" Type="http://schemas.openxmlformats.org/officeDocument/2006/relationships/hyperlink" Target="consultantplus://offline/ref=017E42E49CF3F1E6A9A72841EA01B9B19A3852F54B17E2074D98ACFF398B84CACFE8F4F9735B8AF5C721E0zEO4C" TargetMode="External"/><Relationship Id="rId5" Type="http://schemas.openxmlformats.org/officeDocument/2006/relationships/hyperlink" Target="consultantplus://offline/ref=017E42E49CF3F1E6A9A72841EA01B9B19A3852F54515EE0B4A98ACFF398B84CACFE8F4F9735B8AF5C720E5zEO5C" TargetMode="External"/><Relationship Id="rId15" Type="http://schemas.openxmlformats.org/officeDocument/2006/relationships/image" Target="media/image1.wmf"/><Relationship Id="rId10" Type="http://schemas.openxmlformats.org/officeDocument/2006/relationships/hyperlink" Target="consultantplus://offline/ref=017E42E49CF3F1E6A9A72841EA01B9B19A3852F54B11E2094F98ACFF398B84CACFE8F4F9735B8AF5C720EBzEO4C" TargetMode="External"/><Relationship Id="rId4" Type="http://schemas.openxmlformats.org/officeDocument/2006/relationships/webSettings" Target="webSettings.xml"/><Relationship Id="rId9" Type="http://schemas.openxmlformats.org/officeDocument/2006/relationships/hyperlink" Target="consultantplus://offline/ref=017E42E49CF3F1E6A9A72841EA01B9B19A3852F54B11E7064298ACFF398B84CACFE8F4F9735B8AF5C721E2zEO1C" TargetMode="External"/><Relationship Id="rId14" Type="http://schemas.openxmlformats.org/officeDocument/2006/relationships/hyperlink" Target="consultantplus://offline/ref=017E42E49CF3F1E6A9A72841EA01B9B19A3852F54B14E30A4C98ACFF398B84CACFE8F4F9735B8AF5C724EBzEO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14541</Characters>
  <Application>Microsoft Office Word</Application>
  <DocSecurity>0</DocSecurity>
  <Lines>121</Lines>
  <Paragraphs>34</Paragraphs>
  <ScaleCrop>false</ScaleCrop>
  <Company>Амурский филиал ОАО "Дальсвязь"</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Метельская ОВ</dc:creator>
  <cp:keywords/>
  <dc:description/>
  <cp:lastModifiedBy>Метельская ОВ</cp:lastModifiedBy>
  <cp:revision>2</cp:revision>
  <dcterms:created xsi:type="dcterms:W3CDTF">2018-04-17T07:37:00Z</dcterms:created>
  <dcterms:modified xsi:type="dcterms:W3CDTF">2018-04-17T07:38:00Z</dcterms:modified>
</cp:coreProperties>
</file>